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14:paraId="6BB8CF9C" w14:textId="77777777" w:rsidTr="00596E73">
        <w:trPr>
          <w:trHeight w:val="3574"/>
        </w:trPr>
        <w:tc>
          <w:tcPr>
            <w:tcW w:w="9184" w:type="dxa"/>
            <w:vAlign w:val="bottom"/>
            <w:hideMark/>
          </w:tcPr>
          <w:p w14:paraId="157CDB5D" w14:textId="77777777" w:rsidR="00381B00" w:rsidRDefault="00381B00" w:rsidP="00381B00">
            <w:pPr>
              <w:pStyle w:val="Title"/>
            </w:pPr>
            <w:bookmarkStart w:id="0" w:name="_GoBack"/>
            <w:bookmarkEnd w:id="0"/>
            <w:r>
              <w:t>Regulation FCAS CONTRIBUTION factor procedure</w:t>
            </w:r>
          </w:p>
          <w:p w14:paraId="71F82B97" w14:textId="77777777" w:rsidR="00381B00" w:rsidRDefault="00381B00" w:rsidP="00381B00">
            <w:pPr>
              <w:rPr>
                <w:sz w:val="28"/>
                <w:szCs w:val="28"/>
              </w:rPr>
            </w:pPr>
          </w:p>
          <w:p w14:paraId="58AD3185" w14:textId="77777777" w:rsidR="00381B00" w:rsidRPr="00BD2906" w:rsidRDefault="00381B00" w:rsidP="00381B00">
            <w:pPr>
              <w:rPr>
                <w:sz w:val="28"/>
                <w:szCs w:val="28"/>
              </w:rPr>
            </w:pPr>
            <w:r w:rsidRPr="00BD2906">
              <w:rPr>
                <w:sz w:val="28"/>
                <w:szCs w:val="28"/>
              </w:rPr>
              <w:t>DETERMINATION OF CONTRIBUTION FACTORS FOR REGULATION FCAS COST RECOVERY</w:t>
            </w:r>
          </w:p>
          <w:p w14:paraId="1DAC07ED" w14:textId="483F3ADE" w:rsidR="00714DD5" w:rsidRDefault="00714DD5" w:rsidP="00027BFA">
            <w:pPr>
              <w:pStyle w:val="Title"/>
              <w:rPr>
                <w:sz w:val="20"/>
                <w:szCs w:val="20"/>
              </w:rPr>
            </w:pPr>
          </w:p>
        </w:tc>
      </w:tr>
      <w:tr w:rsidR="00714DD5" w14:paraId="5014D244" w14:textId="77777777" w:rsidTr="00596E73">
        <w:trPr>
          <w:trHeight w:val="437"/>
        </w:trPr>
        <w:tc>
          <w:tcPr>
            <w:tcW w:w="9184" w:type="dxa"/>
          </w:tcPr>
          <w:p w14:paraId="2C017C93" w14:textId="77777777" w:rsidR="00714DD5" w:rsidRDefault="00714DD5" w:rsidP="004C5114">
            <w:pPr>
              <w:pStyle w:val="BodyText"/>
            </w:pPr>
          </w:p>
        </w:tc>
      </w:tr>
    </w:tbl>
    <w:p w14:paraId="49D363C1" w14:textId="77777777" w:rsidR="00B109A1" w:rsidRDefault="00B109A1" w:rsidP="0019250F">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14:paraId="316F137A" w14:textId="77777777" w:rsidTr="00596E73">
        <w:tc>
          <w:tcPr>
            <w:tcW w:w="1819" w:type="dxa"/>
          </w:tcPr>
          <w:p w14:paraId="4DA6AFEA" w14:textId="77777777" w:rsidR="00B109A1" w:rsidRPr="00B109A1" w:rsidRDefault="00B109A1" w:rsidP="0019250F">
            <w:pPr>
              <w:pStyle w:val="TableText"/>
            </w:pPr>
            <w:r w:rsidRPr="00B109A1">
              <w:t>PREPARED BY:</w:t>
            </w:r>
          </w:p>
        </w:tc>
        <w:tc>
          <w:tcPr>
            <w:tcW w:w="7355" w:type="dxa"/>
          </w:tcPr>
          <w:p w14:paraId="0EB784D2" w14:textId="70D26641" w:rsidR="00B109A1" w:rsidRPr="00B109A1" w:rsidRDefault="009614EA" w:rsidP="0019250F">
            <w:pPr>
              <w:pStyle w:val="TableText"/>
            </w:pPr>
            <w:r>
              <w:t>AEMO</w:t>
            </w:r>
            <w:r w:rsidR="00381B00">
              <w:t xml:space="preserve"> Operations – Systems Performance and Commercial</w:t>
            </w:r>
          </w:p>
        </w:tc>
      </w:tr>
      <w:tr w:rsidR="00B109A1" w:rsidRPr="00B109A1" w14:paraId="5FD2992C" w14:textId="77777777" w:rsidTr="00596E73">
        <w:tc>
          <w:tcPr>
            <w:tcW w:w="1819" w:type="dxa"/>
          </w:tcPr>
          <w:p w14:paraId="0D4B0916" w14:textId="5B2DF6EF" w:rsidR="00B109A1" w:rsidRPr="00B109A1" w:rsidRDefault="00B109A1" w:rsidP="0019250F">
            <w:pPr>
              <w:pStyle w:val="TableText"/>
            </w:pPr>
          </w:p>
        </w:tc>
        <w:tc>
          <w:tcPr>
            <w:tcW w:w="7355" w:type="dxa"/>
          </w:tcPr>
          <w:p w14:paraId="12A85BB3" w14:textId="5EE6E6B8" w:rsidR="00B109A1" w:rsidRPr="00B109A1" w:rsidRDefault="00B109A1" w:rsidP="0019250F">
            <w:pPr>
              <w:pStyle w:val="DocRef"/>
            </w:pPr>
          </w:p>
        </w:tc>
      </w:tr>
      <w:tr w:rsidR="00B109A1" w:rsidRPr="00B109A1" w14:paraId="2105490F" w14:textId="77777777" w:rsidTr="00596E73">
        <w:tc>
          <w:tcPr>
            <w:tcW w:w="1819" w:type="dxa"/>
          </w:tcPr>
          <w:p w14:paraId="2D4B2133" w14:textId="77777777" w:rsidR="00B109A1" w:rsidRPr="00B109A1" w:rsidRDefault="00B109A1" w:rsidP="0019250F">
            <w:pPr>
              <w:pStyle w:val="TableText"/>
            </w:pPr>
            <w:r w:rsidRPr="00B109A1">
              <w:t>VERSION:</w:t>
            </w:r>
          </w:p>
        </w:tc>
        <w:tc>
          <w:tcPr>
            <w:tcW w:w="7355" w:type="dxa"/>
          </w:tcPr>
          <w:p w14:paraId="364570CD" w14:textId="74D82AFB" w:rsidR="00B109A1" w:rsidRPr="00B109A1" w:rsidRDefault="00381B00" w:rsidP="007B599E">
            <w:pPr>
              <w:pStyle w:val="TableText"/>
            </w:pPr>
            <w:r>
              <w:t>6.0</w:t>
            </w:r>
          </w:p>
        </w:tc>
      </w:tr>
      <w:tr w:rsidR="00B109A1" w:rsidRPr="00B109A1" w14:paraId="27DA396A" w14:textId="77777777" w:rsidTr="00596E73">
        <w:tc>
          <w:tcPr>
            <w:tcW w:w="1819" w:type="dxa"/>
          </w:tcPr>
          <w:p w14:paraId="62D07D18" w14:textId="77777777" w:rsidR="00B109A1" w:rsidRPr="00B109A1" w:rsidRDefault="00B109A1" w:rsidP="0019250F">
            <w:pPr>
              <w:pStyle w:val="TableText"/>
            </w:pPr>
            <w:r w:rsidRPr="00B109A1">
              <w:t>EFFECTIVE DATE:</w:t>
            </w:r>
          </w:p>
        </w:tc>
        <w:tc>
          <w:tcPr>
            <w:tcW w:w="7355" w:type="dxa"/>
          </w:tcPr>
          <w:p w14:paraId="735BE7D8" w14:textId="77777777" w:rsidR="00B109A1" w:rsidRPr="00B109A1" w:rsidRDefault="00B109A1" w:rsidP="00F32421">
            <w:pPr>
              <w:pStyle w:val="EffectDate"/>
            </w:pPr>
            <w:r w:rsidRPr="00B109A1">
              <w:t>dd month yyyy</w:t>
            </w:r>
          </w:p>
        </w:tc>
      </w:tr>
      <w:tr w:rsidR="00B109A1" w:rsidRPr="00B109A1" w14:paraId="009FE3E5" w14:textId="77777777" w:rsidTr="00596E73">
        <w:tc>
          <w:tcPr>
            <w:tcW w:w="1819" w:type="dxa"/>
          </w:tcPr>
          <w:p w14:paraId="79D9595E" w14:textId="77777777" w:rsidR="00B109A1" w:rsidRPr="00B109A1" w:rsidRDefault="00B109A1" w:rsidP="0019250F">
            <w:pPr>
              <w:pStyle w:val="TableText"/>
            </w:pPr>
            <w:r w:rsidRPr="00B109A1">
              <w:t>STATUS:</w:t>
            </w:r>
          </w:p>
        </w:tc>
        <w:tc>
          <w:tcPr>
            <w:tcW w:w="7355" w:type="dxa"/>
          </w:tcPr>
          <w:p w14:paraId="22465E64" w14:textId="737A79C2" w:rsidR="00B109A1" w:rsidRPr="00B109A1" w:rsidRDefault="009614EA" w:rsidP="0019250F">
            <w:pPr>
              <w:pStyle w:val="TableText"/>
            </w:pPr>
            <w:r w:rsidRPr="005C1B6C">
              <w:rPr>
                <w:highlight w:val="yellow"/>
              </w:rPr>
              <w:t>[DRAFT]</w:t>
            </w:r>
          </w:p>
        </w:tc>
      </w:tr>
      <w:tr w:rsidR="00B109A1" w:rsidRPr="00B109A1" w14:paraId="052A4A40" w14:textId="77777777" w:rsidTr="00596E73">
        <w:trPr>
          <w:trHeight w:val="508"/>
        </w:trPr>
        <w:tc>
          <w:tcPr>
            <w:tcW w:w="1819" w:type="dxa"/>
          </w:tcPr>
          <w:p w14:paraId="10F67933" w14:textId="77777777" w:rsidR="00B109A1" w:rsidRPr="00B109A1" w:rsidRDefault="00B109A1" w:rsidP="0019250F">
            <w:pPr>
              <w:pStyle w:val="TableText"/>
            </w:pPr>
          </w:p>
        </w:tc>
        <w:tc>
          <w:tcPr>
            <w:tcW w:w="7355" w:type="dxa"/>
          </w:tcPr>
          <w:p w14:paraId="5A944510" w14:textId="77777777" w:rsidR="00B109A1" w:rsidRPr="00B109A1" w:rsidRDefault="00B109A1" w:rsidP="0019250F">
            <w:pPr>
              <w:pStyle w:val="TableText"/>
            </w:pPr>
          </w:p>
        </w:tc>
      </w:tr>
      <w:tr w:rsidR="00B109A1" w:rsidRPr="00596E73" w14:paraId="3CAC5D69" w14:textId="77777777" w:rsidTr="00596E73">
        <w:tc>
          <w:tcPr>
            <w:tcW w:w="9174" w:type="dxa"/>
            <w:gridSpan w:val="2"/>
          </w:tcPr>
          <w:p w14:paraId="426F235C" w14:textId="77777777" w:rsidR="00B109A1" w:rsidRPr="00596E73" w:rsidRDefault="00B109A1" w:rsidP="004954FD">
            <w:pPr>
              <w:pStyle w:val="TableTitle"/>
            </w:pPr>
            <w:r w:rsidRPr="00596E73">
              <w:t>Approved for distribution and use by:</w:t>
            </w:r>
          </w:p>
        </w:tc>
      </w:tr>
      <w:tr w:rsidR="00B109A1" w:rsidRPr="00B109A1" w14:paraId="3FCD7F6D" w14:textId="77777777" w:rsidTr="00596E73">
        <w:tc>
          <w:tcPr>
            <w:tcW w:w="1819" w:type="dxa"/>
          </w:tcPr>
          <w:p w14:paraId="3B884895" w14:textId="77777777" w:rsidR="00B109A1" w:rsidRPr="00B109A1" w:rsidRDefault="00B109A1" w:rsidP="0019250F">
            <w:pPr>
              <w:pStyle w:val="TableText"/>
            </w:pPr>
            <w:r w:rsidRPr="00B109A1">
              <w:t>APPROVED BY:</w:t>
            </w:r>
          </w:p>
        </w:tc>
        <w:tc>
          <w:tcPr>
            <w:tcW w:w="7355" w:type="dxa"/>
          </w:tcPr>
          <w:p w14:paraId="765541E2" w14:textId="4657AB75" w:rsidR="00B109A1" w:rsidRPr="00B109A1" w:rsidRDefault="00381B00" w:rsidP="0019250F">
            <w:pPr>
              <w:pStyle w:val="TableText"/>
            </w:pPr>
            <w:r>
              <w:t>Damien Sanford</w:t>
            </w:r>
          </w:p>
        </w:tc>
      </w:tr>
      <w:tr w:rsidR="00B109A1" w:rsidRPr="00B109A1" w14:paraId="78C1A30E" w14:textId="77777777" w:rsidTr="00596E73">
        <w:trPr>
          <w:trHeight w:val="737"/>
        </w:trPr>
        <w:tc>
          <w:tcPr>
            <w:tcW w:w="1819" w:type="dxa"/>
          </w:tcPr>
          <w:p w14:paraId="499E4A0B" w14:textId="77777777" w:rsidR="00B109A1" w:rsidRPr="00B109A1" w:rsidRDefault="00B109A1" w:rsidP="0019250F">
            <w:pPr>
              <w:pStyle w:val="TableText"/>
            </w:pPr>
            <w:r w:rsidRPr="00B109A1">
              <w:t>TITLE:</w:t>
            </w:r>
          </w:p>
        </w:tc>
        <w:tc>
          <w:tcPr>
            <w:tcW w:w="7355" w:type="dxa"/>
          </w:tcPr>
          <w:p w14:paraId="588B72D8" w14:textId="7254FFF6" w:rsidR="00B109A1" w:rsidRPr="00B109A1" w:rsidRDefault="00381B00" w:rsidP="0019250F">
            <w:pPr>
              <w:pStyle w:val="TableText"/>
            </w:pPr>
            <w:r>
              <w:t>Executive General Manager Operations</w:t>
            </w:r>
          </w:p>
        </w:tc>
      </w:tr>
      <w:tr w:rsidR="00B109A1" w:rsidRPr="00B109A1" w14:paraId="14DB412C" w14:textId="77777777" w:rsidTr="00596E73">
        <w:trPr>
          <w:trHeight w:val="300"/>
        </w:trPr>
        <w:tc>
          <w:tcPr>
            <w:tcW w:w="1819" w:type="dxa"/>
          </w:tcPr>
          <w:p w14:paraId="37994114" w14:textId="77777777" w:rsidR="00B109A1" w:rsidRPr="00B109A1" w:rsidRDefault="00B109A1" w:rsidP="0019250F">
            <w:pPr>
              <w:pStyle w:val="TableText"/>
            </w:pPr>
          </w:p>
        </w:tc>
        <w:tc>
          <w:tcPr>
            <w:tcW w:w="7355" w:type="dxa"/>
          </w:tcPr>
          <w:p w14:paraId="0D6272D0" w14:textId="77777777" w:rsidR="00B109A1" w:rsidRPr="00B109A1" w:rsidRDefault="00B109A1" w:rsidP="0019250F">
            <w:pPr>
              <w:pStyle w:val="TableText"/>
            </w:pPr>
          </w:p>
        </w:tc>
      </w:tr>
      <w:tr w:rsidR="00B109A1" w:rsidRPr="00B109A1" w14:paraId="60769381" w14:textId="77777777" w:rsidTr="00596E73">
        <w:tc>
          <w:tcPr>
            <w:tcW w:w="1819" w:type="dxa"/>
          </w:tcPr>
          <w:p w14:paraId="3A6003E2" w14:textId="77777777" w:rsidR="00B109A1" w:rsidRPr="00B109A1" w:rsidRDefault="00B109A1" w:rsidP="0019250F">
            <w:pPr>
              <w:pStyle w:val="TableText"/>
            </w:pPr>
            <w:r w:rsidRPr="00B109A1">
              <w:t>DATE:</w:t>
            </w:r>
          </w:p>
        </w:tc>
        <w:tc>
          <w:tcPr>
            <w:tcW w:w="7355" w:type="dxa"/>
          </w:tcPr>
          <w:p w14:paraId="1081D935" w14:textId="54BFC11B" w:rsidR="00B109A1" w:rsidRPr="00B109A1" w:rsidRDefault="009614EA" w:rsidP="0019250F">
            <w:pPr>
              <w:pStyle w:val="TableText"/>
            </w:pPr>
            <w:r>
              <w:t xml:space="preserve">   /     / 20</w:t>
            </w:r>
            <w:r w:rsidR="00381B00">
              <w:t>18</w:t>
            </w:r>
            <w:r>
              <w:t xml:space="preserve">  </w:t>
            </w:r>
          </w:p>
        </w:tc>
      </w:tr>
    </w:tbl>
    <w:p w14:paraId="4005A01E" w14:textId="77777777" w:rsidR="00710277" w:rsidRDefault="00710277" w:rsidP="004C5114">
      <w:pPr>
        <w:pStyle w:val="BodyText"/>
      </w:pPr>
    </w:p>
    <w:p w14:paraId="32DC7A16" w14:textId="77777777" w:rsidR="00710277" w:rsidRDefault="00710277" w:rsidP="004C5114">
      <w:pPr>
        <w:pStyle w:val="BodyText"/>
        <w:sectPr w:rsidR="00710277" w:rsidSect="00846111">
          <w:headerReference w:type="default" r:id="rId14"/>
          <w:footerReference w:type="default" r:id="rId15"/>
          <w:pgSz w:w="11906" w:h="16838"/>
          <w:pgMar w:top="1871" w:right="1361" w:bottom="1871" w:left="1361" w:header="567" w:footer="567" w:gutter="0"/>
          <w:cols w:space="708"/>
          <w:docGrid w:linePitch="360"/>
        </w:sectPr>
      </w:pPr>
    </w:p>
    <w:p w14:paraId="4F447A01" w14:textId="77777777" w:rsidR="009F7908" w:rsidRDefault="00F32421" w:rsidP="00B876BA">
      <w:pPr>
        <w:pStyle w:val="TOCHeading"/>
      </w:pPr>
      <w:r w:rsidRPr="00F32421">
        <w:lastRenderedPageBreak/>
        <w:t>Version Release History</w:t>
      </w:r>
    </w:p>
    <w:tbl>
      <w:tblPr>
        <w:tblStyle w:val="AEMOTable"/>
        <w:tblW w:w="9234" w:type="dxa"/>
        <w:tblLook w:val="0620" w:firstRow="1" w:lastRow="0" w:firstColumn="0" w:lastColumn="0" w:noHBand="1" w:noVBand="1"/>
      </w:tblPr>
      <w:tblGrid>
        <w:gridCol w:w="877"/>
        <w:gridCol w:w="1533"/>
        <w:gridCol w:w="6824"/>
      </w:tblGrid>
      <w:tr w:rsidR="003A6076" w:rsidRPr="00F32421" w14:paraId="295F67CA" w14:textId="77777777" w:rsidTr="00C43A06">
        <w:trPr>
          <w:cnfStyle w:val="100000000000" w:firstRow="1" w:lastRow="0" w:firstColumn="0" w:lastColumn="0" w:oddVBand="0" w:evenVBand="0" w:oddHBand="0" w:evenHBand="0" w:firstRowFirstColumn="0" w:firstRowLastColumn="0" w:lastRowFirstColumn="0" w:lastRowLastColumn="0"/>
        </w:trPr>
        <w:tc>
          <w:tcPr>
            <w:tcW w:w="877" w:type="dxa"/>
          </w:tcPr>
          <w:p w14:paraId="0A75BA69" w14:textId="77777777" w:rsidR="003A6076" w:rsidRPr="00C0198F" w:rsidRDefault="003A6076" w:rsidP="00C43A06">
            <w:pPr>
              <w:pStyle w:val="TableTitle"/>
            </w:pPr>
            <w:r w:rsidRPr="00C0198F">
              <w:t xml:space="preserve">Version </w:t>
            </w:r>
          </w:p>
        </w:tc>
        <w:tc>
          <w:tcPr>
            <w:tcW w:w="1533" w:type="dxa"/>
          </w:tcPr>
          <w:p w14:paraId="617CF69B" w14:textId="77777777" w:rsidR="003A6076" w:rsidRPr="00C0198F" w:rsidRDefault="003A6076" w:rsidP="00C43A06">
            <w:pPr>
              <w:pStyle w:val="TableTitle"/>
            </w:pPr>
            <w:r w:rsidRPr="00C0198F">
              <w:t>Effective Date</w:t>
            </w:r>
          </w:p>
        </w:tc>
        <w:tc>
          <w:tcPr>
            <w:tcW w:w="6824" w:type="dxa"/>
          </w:tcPr>
          <w:p w14:paraId="120D7573" w14:textId="77777777" w:rsidR="003A6076" w:rsidRPr="00C0198F" w:rsidRDefault="003A6076" w:rsidP="00C43A06">
            <w:pPr>
              <w:pStyle w:val="TableTitle"/>
            </w:pPr>
            <w:r w:rsidRPr="00C0198F">
              <w:t>Summary of Changes</w:t>
            </w:r>
          </w:p>
        </w:tc>
      </w:tr>
      <w:tr w:rsidR="003A6076" w:rsidRPr="00F32421" w14:paraId="210A0A12" w14:textId="77777777" w:rsidTr="00C43A06">
        <w:tc>
          <w:tcPr>
            <w:tcW w:w="877" w:type="dxa"/>
          </w:tcPr>
          <w:p w14:paraId="4C1D6DE6" w14:textId="77777777" w:rsidR="003A6076" w:rsidRPr="00C0198F" w:rsidRDefault="003A6076" w:rsidP="00C43A06">
            <w:pPr>
              <w:pStyle w:val="TableText"/>
              <w:rPr>
                <w:lang w:val="en-US"/>
              </w:rPr>
            </w:pPr>
            <w:r w:rsidRPr="00C0198F">
              <w:rPr>
                <w:lang w:val="en-US"/>
              </w:rPr>
              <w:t>1.0</w:t>
            </w:r>
          </w:p>
        </w:tc>
        <w:tc>
          <w:tcPr>
            <w:tcW w:w="1533" w:type="dxa"/>
          </w:tcPr>
          <w:p w14:paraId="200DEF44" w14:textId="77777777" w:rsidR="003A6076" w:rsidRPr="00C0198F" w:rsidRDefault="003A6076" w:rsidP="00C43A06">
            <w:pPr>
              <w:pStyle w:val="TableText"/>
              <w:rPr>
                <w:lang w:val="en-US"/>
              </w:rPr>
            </w:pPr>
            <w:r>
              <w:rPr>
                <w:lang w:val="en-US"/>
              </w:rPr>
              <w:t>14 August 2001</w:t>
            </w:r>
          </w:p>
        </w:tc>
        <w:tc>
          <w:tcPr>
            <w:tcW w:w="6824" w:type="dxa"/>
          </w:tcPr>
          <w:p w14:paraId="51A0CDF5" w14:textId="77777777" w:rsidR="003A6076" w:rsidRPr="00C0198F" w:rsidRDefault="003A6076" w:rsidP="00C43A06">
            <w:pPr>
              <w:pStyle w:val="TableText"/>
              <w:rPr>
                <w:lang w:val="en-US"/>
              </w:rPr>
            </w:pPr>
            <w:r w:rsidRPr="00C0198F">
              <w:rPr>
                <w:lang w:val="en-US"/>
              </w:rPr>
              <w:t>First Issue</w:t>
            </w:r>
            <w:r>
              <w:rPr>
                <w:lang w:val="en-US"/>
              </w:rPr>
              <w:t xml:space="preserve"> following National Electricity Code Determination Report on ‘Impementation of Causer Pays for Small Deviation FCAS’</w:t>
            </w:r>
          </w:p>
        </w:tc>
      </w:tr>
      <w:tr w:rsidR="003A6076" w:rsidRPr="00F32421" w14:paraId="1E5EC627" w14:textId="77777777" w:rsidTr="00C43A06">
        <w:tc>
          <w:tcPr>
            <w:tcW w:w="877" w:type="dxa"/>
          </w:tcPr>
          <w:p w14:paraId="193114C1" w14:textId="77777777" w:rsidR="003A6076" w:rsidRPr="00C0198F" w:rsidRDefault="003A6076" w:rsidP="00C43A06">
            <w:pPr>
              <w:pStyle w:val="TableText"/>
              <w:rPr>
                <w:lang w:val="en-US"/>
              </w:rPr>
            </w:pPr>
            <w:r>
              <w:rPr>
                <w:lang w:val="en-US"/>
              </w:rPr>
              <w:t>2.0</w:t>
            </w:r>
          </w:p>
        </w:tc>
        <w:tc>
          <w:tcPr>
            <w:tcW w:w="1533" w:type="dxa"/>
          </w:tcPr>
          <w:p w14:paraId="0AF5FD25" w14:textId="77777777" w:rsidR="003A6076" w:rsidRPr="00C0198F" w:rsidRDefault="003A6076" w:rsidP="00C43A06">
            <w:pPr>
              <w:pStyle w:val="TableText"/>
              <w:rPr>
                <w:lang w:val="en-US"/>
              </w:rPr>
            </w:pPr>
            <w:r>
              <w:rPr>
                <w:lang w:val="en-US"/>
              </w:rPr>
              <w:t>1 December 2006</w:t>
            </w:r>
          </w:p>
        </w:tc>
        <w:tc>
          <w:tcPr>
            <w:tcW w:w="6824" w:type="dxa"/>
          </w:tcPr>
          <w:p w14:paraId="19FD1D6E" w14:textId="77777777" w:rsidR="003A6076" w:rsidRPr="00C0198F" w:rsidRDefault="003A6076" w:rsidP="00C43A06">
            <w:pPr>
              <w:pStyle w:val="TableText"/>
              <w:rPr>
                <w:lang w:val="en-US"/>
              </w:rPr>
            </w:pPr>
            <w:r>
              <w:rPr>
                <w:lang w:val="en-US"/>
              </w:rPr>
              <w:t>Amended procedure</w:t>
            </w:r>
          </w:p>
        </w:tc>
      </w:tr>
      <w:tr w:rsidR="003A6076" w:rsidRPr="00F32421" w14:paraId="0AD7E6AA" w14:textId="77777777" w:rsidTr="00C43A06">
        <w:tc>
          <w:tcPr>
            <w:tcW w:w="877" w:type="dxa"/>
          </w:tcPr>
          <w:p w14:paraId="34E47AB2" w14:textId="77777777" w:rsidR="003A6076" w:rsidRDefault="003A6076" w:rsidP="00C43A06">
            <w:pPr>
              <w:pStyle w:val="TableText"/>
              <w:rPr>
                <w:lang w:val="en-US"/>
              </w:rPr>
            </w:pPr>
            <w:r>
              <w:rPr>
                <w:lang w:val="en-US"/>
              </w:rPr>
              <w:t>3.0</w:t>
            </w:r>
          </w:p>
        </w:tc>
        <w:tc>
          <w:tcPr>
            <w:tcW w:w="1533" w:type="dxa"/>
          </w:tcPr>
          <w:p w14:paraId="3C43BECE" w14:textId="77777777" w:rsidR="003A6076" w:rsidRDefault="003A6076" w:rsidP="00C43A06">
            <w:pPr>
              <w:pStyle w:val="TableText"/>
              <w:rPr>
                <w:lang w:val="en-US"/>
              </w:rPr>
            </w:pPr>
            <w:r>
              <w:rPr>
                <w:lang w:val="en-US"/>
              </w:rPr>
              <w:t>1 January 2009</w:t>
            </w:r>
          </w:p>
        </w:tc>
        <w:tc>
          <w:tcPr>
            <w:tcW w:w="6824" w:type="dxa"/>
          </w:tcPr>
          <w:p w14:paraId="0DFBAAE6" w14:textId="77777777" w:rsidR="003A6076" w:rsidRDefault="003A6076" w:rsidP="00C43A06">
            <w:pPr>
              <w:pStyle w:val="TableText"/>
              <w:rPr>
                <w:lang w:val="en-US"/>
              </w:rPr>
            </w:pPr>
            <w:r>
              <w:rPr>
                <w:lang w:val="en-US"/>
              </w:rPr>
              <w:t xml:space="preserve">Amended for </w:t>
            </w:r>
            <w:r w:rsidRPr="00A47CDC">
              <w:rPr>
                <w:i/>
                <w:lang w:val="en-US"/>
              </w:rPr>
              <w:t>Cost Recovery of Localised Regulation Services</w:t>
            </w:r>
            <w:r>
              <w:rPr>
                <w:lang w:val="en-US"/>
              </w:rPr>
              <w:t xml:space="preserve"> and </w:t>
            </w:r>
            <w:r w:rsidRPr="00A47CDC">
              <w:rPr>
                <w:i/>
                <w:lang w:val="en-US"/>
              </w:rPr>
              <w:t>Central Dispatch and Integration of Wind and Other Intermittent Generation</w:t>
            </w:r>
            <w:r>
              <w:rPr>
                <w:lang w:val="en-US"/>
              </w:rPr>
              <w:t xml:space="preserve"> Rule Changes</w:t>
            </w:r>
          </w:p>
        </w:tc>
      </w:tr>
      <w:tr w:rsidR="003A6076" w:rsidRPr="00F32421" w14:paraId="0C9387DE" w14:textId="77777777" w:rsidTr="00C43A06">
        <w:tc>
          <w:tcPr>
            <w:tcW w:w="877" w:type="dxa"/>
          </w:tcPr>
          <w:p w14:paraId="17B8C893" w14:textId="77777777" w:rsidR="003A6076" w:rsidRDefault="003A6076" w:rsidP="00C43A06">
            <w:pPr>
              <w:pStyle w:val="TableText"/>
              <w:rPr>
                <w:lang w:val="en-US"/>
              </w:rPr>
            </w:pPr>
            <w:r>
              <w:rPr>
                <w:lang w:val="en-US"/>
              </w:rPr>
              <w:t>4.0</w:t>
            </w:r>
          </w:p>
        </w:tc>
        <w:tc>
          <w:tcPr>
            <w:tcW w:w="1533" w:type="dxa"/>
          </w:tcPr>
          <w:p w14:paraId="26F36773" w14:textId="77777777" w:rsidR="003A6076" w:rsidRDefault="003A6076" w:rsidP="00C43A06">
            <w:pPr>
              <w:pStyle w:val="TableText"/>
              <w:rPr>
                <w:lang w:val="en-US"/>
              </w:rPr>
            </w:pPr>
            <w:r>
              <w:rPr>
                <w:lang w:val="en-US"/>
              </w:rPr>
              <w:t>15 December 2013</w:t>
            </w:r>
          </w:p>
        </w:tc>
        <w:tc>
          <w:tcPr>
            <w:tcW w:w="6824" w:type="dxa"/>
          </w:tcPr>
          <w:p w14:paraId="62D47B85" w14:textId="77777777" w:rsidR="003A6076" w:rsidRDefault="003A6076" w:rsidP="00C43A06">
            <w:pPr>
              <w:pStyle w:val="TableText"/>
              <w:rPr>
                <w:lang w:val="en-US"/>
              </w:rPr>
            </w:pPr>
            <w:r>
              <w:rPr>
                <w:lang w:val="en-US"/>
              </w:rPr>
              <w:t xml:space="preserve">Amended for </w:t>
            </w:r>
            <w:r w:rsidRPr="00217865">
              <w:rPr>
                <w:i/>
                <w:lang w:val="en-US"/>
              </w:rPr>
              <w:t xml:space="preserve">Market </w:t>
            </w:r>
            <w:r>
              <w:rPr>
                <w:i/>
                <w:lang w:val="en-US"/>
              </w:rPr>
              <w:t>S</w:t>
            </w:r>
            <w:r w:rsidRPr="00217865">
              <w:rPr>
                <w:i/>
                <w:lang w:val="en-US"/>
              </w:rPr>
              <w:t>mall</w:t>
            </w:r>
            <w:r>
              <w:rPr>
                <w:lang w:val="en-US"/>
              </w:rPr>
              <w:t xml:space="preserve"> </w:t>
            </w:r>
            <w:r>
              <w:rPr>
                <w:i/>
                <w:lang w:val="en-US"/>
              </w:rPr>
              <w:t>Generation Aggregator</w:t>
            </w:r>
            <w:r>
              <w:rPr>
                <w:lang w:val="en-US"/>
              </w:rPr>
              <w:t xml:space="preserve"> (SGA) Rule Change.</w:t>
            </w:r>
          </w:p>
        </w:tc>
      </w:tr>
      <w:tr w:rsidR="003A6076" w:rsidRPr="00F32421" w14:paraId="38C549A4" w14:textId="77777777" w:rsidTr="00C43A06">
        <w:tc>
          <w:tcPr>
            <w:tcW w:w="877" w:type="dxa"/>
          </w:tcPr>
          <w:p w14:paraId="12D00E5E" w14:textId="77777777" w:rsidR="003A6076" w:rsidRDefault="003A6076" w:rsidP="00C43A06">
            <w:pPr>
              <w:pStyle w:val="TableText"/>
              <w:rPr>
                <w:lang w:val="en-US"/>
              </w:rPr>
            </w:pPr>
            <w:r>
              <w:rPr>
                <w:lang w:val="en-US"/>
              </w:rPr>
              <w:t>5.0</w:t>
            </w:r>
          </w:p>
        </w:tc>
        <w:tc>
          <w:tcPr>
            <w:tcW w:w="1533" w:type="dxa"/>
          </w:tcPr>
          <w:p w14:paraId="52C3E0E6" w14:textId="77777777" w:rsidR="003A6076" w:rsidRDefault="003A6076" w:rsidP="00C43A06">
            <w:pPr>
              <w:pStyle w:val="TableText"/>
              <w:rPr>
                <w:lang w:val="en-US"/>
              </w:rPr>
            </w:pPr>
            <w:r>
              <w:rPr>
                <w:lang w:val="en-US"/>
              </w:rPr>
              <w:t>3 March 2017</w:t>
            </w:r>
          </w:p>
        </w:tc>
        <w:tc>
          <w:tcPr>
            <w:tcW w:w="6824" w:type="dxa"/>
          </w:tcPr>
          <w:p w14:paraId="3F97AC99" w14:textId="77777777" w:rsidR="003A6076" w:rsidRDefault="003A6076" w:rsidP="00C43A06">
            <w:pPr>
              <w:pStyle w:val="TableText"/>
              <w:rPr>
                <w:lang w:val="en-US"/>
              </w:rPr>
            </w:pPr>
            <w:r>
              <w:rPr>
                <w:lang w:val="en-US"/>
              </w:rPr>
              <w:t xml:space="preserve">Amended for determination of NEM Dispute Resolution Panel dated 3 October 2016 to specify a procedure for determining relevant contribution factors when a </w:t>
            </w:r>
            <w:r w:rsidRPr="00217865">
              <w:rPr>
                <w:i/>
                <w:lang w:val="en-US"/>
              </w:rPr>
              <w:t>region</w:t>
            </w:r>
            <w:r>
              <w:rPr>
                <w:lang w:val="en-US"/>
              </w:rPr>
              <w:t xml:space="preserve"> operates asynchronously. </w:t>
            </w:r>
          </w:p>
        </w:tc>
      </w:tr>
      <w:tr w:rsidR="003A6076" w:rsidRPr="00F32421" w14:paraId="7CB4AA9C" w14:textId="77777777" w:rsidTr="00C43A06">
        <w:tc>
          <w:tcPr>
            <w:tcW w:w="877" w:type="dxa"/>
          </w:tcPr>
          <w:p w14:paraId="03A6ED2D" w14:textId="77777777" w:rsidR="003A6076" w:rsidRDefault="003A6076" w:rsidP="00C43A06">
            <w:pPr>
              <w:pStyle w:val="TableText"/>
              <w:rPr>
                <w:lang w:val="en-US"/>
              </w:rPr>
            </w:pPr>
            <w:r>
              <w:rPr>
                <w:lang w:val="en-US"/>
              </w:rPr>
              <w:t>6.0</w:t>
            </w:r>
          </w:p>
        </w:tc>
        <w:tc>
          <w:tcPr>
            <w:tcW w:w="1533" w:type="dxa"/>
          </w:tcPr>
          <w:p w14:paraId="35E58D99" w14:textId="77777777" w:rsidR="003A6076" w:rsidRDefault="003A6076" w:rsidP="00C43A06">
            <w:pPr>
              <w:pStyle w:val="TableText"/>
              <w:rPr>
                <w:lang w:val="en-US"/>
              </w:rPr>
            </w:pPr>
            <w:r w:rsidRPr="00E02B5E">
              <w:rPr>
                <w:highlight w:val="yellow"/>
                <w:lang w:val="en-US"/>
              </w:rPr>
              <w:t>[1 July] 201</w:t>
            </w:r>
            <w:r>
              <w:rPr>
                <w:lang w:val="en-US"/>
              </w:rPr>
              <w:t>8</w:t>
            </w:r>
          </w:p>
        </w:tc>
        <w:tc>
          <w:tcPr>
            <w:tcW w:w="6824" w:type="dxa"/>
          </w:tcPr>
          <w:p w14:paraId="4275ED8A" w14:textId="77777777" w:rsidR="003A6076" w:rsidRDefault="003A6076" w:rsidP="00C43A06">
            <w:pPr>
              <w:pStyle w:val="TableText"/>
              <w:rPr>
                <w:lang w:val="en-US"/>
              </w:rPr>
            </w:pPr>
            <w:r w:rsidRPr="001A2F6F">
              <w:rPr>
                <w:lang w:val="en-US"/>
              </w:rPr>
              <w:t>Amended</w:t>
            </w:r>
            <w:r>
              <w:rPr>
                <w:lang w:val="en-US"/>
              </w:rPr>
              <w:t xml:space="preserve"> to provide for:</w:t>
            </w:r>
          </w:p>
          <w:p w14:paraId="4126A17F" w14:textId="77777777" w:rsidR="003A6076" w:rsidRDefault="003A6076" w:rsidP="003A6076">
            <w:pPr>
              <w:pStyle w:val="TableText"/>
              <w:numPr>
                <w:ilvl w:val="0"/>
                <w:numId w:val="16"/>
              </w:numPr>
              <w:rPr>
                <w:lang w:val="en-US"/>
              </w:rPr>
            </w:pPr>
            <w:r>
              <w:rPr>
                <w:lang w:val="en-US"/>
              </w:rPr>
              <w:t>Adjustment of performance measure calculations where frequency indicator (FI) value does not correlate with system frequency</w:t>
            </w:r>
            <w:r w:rsidRPr="001A2F6F">
              <w:rPr>
                <w:lang w:val="en-US"/>
              </w:rPr>
              <w:t>.</w:t>
            </w:r>
          </w:p>
          <w:p w14:paraId="10624F74" w14:textId="217B9C38" w:rsidR="00370D64" w:rsidRPr="008A02C3" w:rsidRDefault="00370D64" w:rsidP="00370D64">
            <w:pPr>
              <w:pStyle w:val="TableText"/>
              <w:numPr>
                <w:ilvl w:val="0"/>
                <w:numId w:val="16"/>
              </w:numPr>
              <w:rPr>
                <w:lang w:val="en-US"/>
              </w:rPr>
            </w:pPr>
            <w:r>
              <w:t xml:space="preserve">Expansion of general principles to remove unnecessary detail but </w:t>
            </w:r>
            <w:r w:rsidR="00CD5358">
              <w:t>cover</w:t>
            </w:r>
            <w:r>
              <w:t xml:space="preserve"> all material parts of the process </w:t>
            </w:r>
            <w:r w:rsidR="00CD5358">
              <w:t xml:space="preserve">and </w:t>
            </w:r>
            <w:r>
              <w:t xml:space="preserve">recent market and system changes, including </w:t>
            </w:r>
            <w:r w:rsidR="00CD5358">
              <w:t xml:space="preserve">dealing with </w:t>
            </w:r>
            <w:r>
              <w:t>physical facilities represented as multiple dispatchable units.</w:t>
            </w:r>
          </w:p>
          <w:p w14:paraId="020E613A" w14:textId="25692726" w:rsidR="00370D64" w:rsidRPr="00CD5358" w:rsidRDefault="003A6076" w:rsidP="00CD5358">
            <w:pPr>
              <w:pStyle w:val="TableText"/>
              <w:numPr>
                <w:ilvl w:val="0"/>
                <w:numId w:val="16"/>
              </w:numPr>
              <w:rPr>
                <w:lang w:val="en-US"/>
              </w:rPr>
            </w:pPr>
            <w:r>
              <w:rPr>
                <w:lang w:val="en-US"/>
              </w:rPr>
              <w:t>Overall restructure and revision to improve clarity, readability</w:t>
            </w:r>
            <w:r w:rsidR="00370D64">
              <w:rPr>
                <w:lang w:val="en-US"/>
              </w:rPr>
              <w:t>,</w:t>
            </w:r>
            <w:r>
              <w:rPr>
                <w:lang w:val="en-US"/>
              </w:rPr>
              <w:t xml:space="preserve"> accuracy</w:t>
            </w:r>
            <w:r w:rsidR="00370D64">
              <w:rPr>
                <w:lang w:val="en-US"/>
              </w:rPr>
              <w:t xml:space="preserve"> and consistency with rules and process</w:t>
            </w:r>
            <w:r>
              <w:rPr>
                <w:lang w:val="en-US"/>
              </w:rPr>
              <w:t>.</w:t>
            </w:r>
          </w:p>
        </w:tc>
      </w:tr>
    </w:tbl>
    <w:p w14:paraId="7D25CE35" w14:textId="77777777" w:rsidR="00F32421" w:rsidRPr="00F32421" w:rsidRDefault="00F32421" w:rsidP="0019250F">
      <w:pPr>
        <w:pStyle w:val="TableFootnote"/>
        <w:rPr>
          <w:lang w:val="en-US"/>
        </w:rPr>
      </w:pPr>
    </w:p>
    <w:p w14:paraId="2E64B8C6" w14:textId="77777777" w:rsidR="00710277" w:rsidRDefault="00710277" w:rsidP="004C5114">
      <w:pPr>
        <w:pStyle w:val="BodyText"/>
      </w:pPr>
    </w:p>
    <w:p w14:paraId="69113E99" w14:textId="77777777" w:rsidR="00710277" w:rsidRDefault="00710277" w:rsidP="004C5114">
      <w:pPr>
        <w:pStyle w:val="BodyText"/>
      </w:pPr>
    </w:p>
    <w:p w14:paraId="43408B09" w14:textId="77777777" w:rsidR="00C87427" w:rsidRPr="0028199D" w:rsidRDefault="00C87427" w:rsidP="0028199D">
      <w:pPr>
        <w:pStyle w:val="BodyText"/>
        <w:rPr>
          <w:b/>
          <w:sz w:val="40"/>
          <w:szCs w:val="40"/>
        </w:rPr>
        <w:sectPr w:rsidR="00C87427" w:rsidRPr="0028199D" w:rsidSect="005032D6">
          <w:headerReference w:type="even" r:id="rId16"/>
          <w:headerReference w:type="default" r:id="rId17"/>
          <w:footerReference w:type="even" r:id="rId18"/>
          <w:footerReference w:type="default" r:id="rId19"/>
          <w:headerReference w:type="first" r:id="rId20"/>
          <w:pgSz w:w="11906" w:h="16838" w:code="9"/>
          <w:pgMar w:top="1871" w:right="1361" w:bottom="1871" w:left="1361" w:header="1021" w:footer="567" w:gutter="0"/>
          <w:cols w:space="708"/>
          <w:docGrid w:linePitch="360"/>
        </w:sectPr>
      </w:pPr>
    </w:p>
    <w:p w14:paraId="19E6E687" w14:textId="77777777" w:rsidR="000C174F" w:rsidRDefault="006B6119" w:rsidP="0028199D">
      <w:pPr>
        <w:pStyle w:val="TOCHeading"/>
        <w:rPr>
          <w:noProof/>
        </w:rPr>
      </w:pPr>
      <w:r w:rsidRPr="00375C24">
        <w:lastRenderedPageBreak/>
        <w:t>Contents</w:t>
      </w:r>
      <w:r w:rsidRPr="00520420">
        <w:rPr>
          <w:rFonts w:ascii="Arial Bold" w:eastAsia="Times New Roman" w:hAnsi="Arial Bold"/>
          <w:noProof/>
          <w:szCs w:val="22"/>
        </w:rPr>
        <w:fldChar w:fldCharType="begin"/>
      </w:r>
      <w:r w:rsidRPr="00520420">
        <w:instrText xml:space="preserve"> TOC \h \z \t "Heading 1,1,Heading 2,2,Appendix Heading 1,5,Appendix Heading 2,2,Foreword Heading 1,3,Foreword Heading 2,4" </w:instrText>
      </w:r>
      <w:r w:rsidRPr="00520420">
        <w:rPr>
          <w:rFonts w:ascii="Arial Bold" w:eastAsia="Times New Roman" w:hAnsi="Arial Bold"/>
          <w:noProof/>
          <w:szCs w:val="22"/>
        </w:rPr>
        <w:fldChar w:fldCharType="separate"/>
      </w:r>
    </w:p>
    <w:p w14:paraId="4A2699BE"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695" w:history="1">
        <w:r w:rsidR="000C174F" w:rsidRPr="00E9646D">
          <w:rPr>
            <w:rStyle w:val="Hyperlink"/>
          </w:rPr>
          <w:t>1.</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rPr>
          <w:t>Introduction</w:t>
        </w:r>
        <w:r w:rsidR="000C174F">
          <w:rPr>
            <w:webHidden/>
          </w:rPr>
          <w:tab/>
        </w:r>
        <w:r w:rsidR="000C174F">
          <w:rPr>
            <w:webHidden/>
          </w:rPr>
          <w:fldChar w:fldCharType="begin"/>
        </w:r>
        <w:r w:rsidR="000C174F">
          <w:rPr>
            <w:webHidden/>
          </w:rPr>
          <w:instrText xml:space="preserve"> PAGEREF _Toc508896695 \h </w:instrText>
        </w:r>
        <w:r w:rsidR="000C174F">
          <w:rPr>
            <w:webHidden/>
          </w:rPr>
        </w:r>
        <w:r w:rsidR="000C174F">
          <w:rPr>
            <w:webHidden/>
          </w:rPr>
          <w:fldChar w:fldCharType="separate"/>
        </w:r>
        <w:r w:rsidR="003E2BF7">
          <w:rPr>
            <w:webHidden/>
          </w:rPr>
          <w:t>4</w:t>
        </w:r>
        <w:r w:rsidR="000C174F">
          <w:rPr>
            <w:webHidden/>
          </w:rPr>
          <w:fldChar w:fldCharType="end"/>
        </w:r>
      </w:hyperlink>
    </w:p>
    <w:p w14:paraId="45E4D98D" w14:textId="77777777" w:rsidR="000C174F" w:rsidRDefault="00AF71FC">
      <w:pPr>
        <w:pStyle w:val="TOC2"/>
        <w:rPr>
          <w:color w:val="auto"/>
          <w:sz w:val="22"/>
        </w:rPr>
      </w:pPr>
      <w:hyperlink w:anchor="_Toc508896696" w:history="1">
        <w:r w:rsidR="000C174F" w:rsidRPr="00E9646D">
          <w:rPr>
            <w:rStyle w:val="Hyperlink"/>
          </w:rPr>
          <w:t>1.1.</w:t>
        </w:r>
        <w:r w:rsidR="000C174F">
          <w:rPr>
            <w:color w:val="auto"/>
            <w:sz w:val="22"/>
          </w:rPr>
          <w:tab/>
        </w:r>
        <w:r w:rsidR="000C174F" w:rsidRPr="00E9646D">
          <w:rPr>
            <w:rStyle w:val="Hyperlink"/>
          </w:rPr>
          <w:t>Purpose and scope</w:t>
        </w:r>
        <w:r w:rsidR="000C174F">
          <w:rPr>
            <w:webHidden/>
          </w:rPr>
          <w:tab/>
        </w:r>
        <w:r w:rsidR="000C174F">
          <w:rPr>
            <w:webHidden/>
          </w:rPr>
          <w:fldChar w:fldCharType="begin"/>
        </w:r>
        <w:r w:rsidR="000C174F">
          <w:rPr>
            <w:webHidden/>
          </w:rPr>
          <w:instrText xml:space="preserve"> PAGEREF _Toc508896696 \h </w:instrText>
        </w:r>
        <w:r w:rsidR="000C174F">
          <w:rPr>
            <w:webHidden/>
          </w:rPr>
        </w:r>
        <w:r w:rsidR="000C174F">
          <w:rPr>
            <w:webHidden/>
          </w:rPr>
          <w:fldChar w:fldCharType="separate"/>
        </w:r>
        <w:r w:rsidR="003E2BF7">
          <w:rPr>
            <w:webHidden/>
          </w:rPr>
          <w:t>4</w:t>
        </w:r>
        <w:r w:rsidR="000C174F">
          <w:rPr>
            <w:webHidden/>
          </w:rPr>
          <w:fldChar w:fldCharType="end"/>
        </w:r>
      </w:hyperlink>
    </w:p>
    <w:p w14:paraId="777AD3A8" w14:textId="77777777" w:rsidR="000C174F" w:rsidRDefault="00AF71FC">
      <w:pPr>
        <w:pStyle w:val="TOC2"/>
        <w:rPr>
          <w:color w:val="auto"/>
          <w:sz w:val="22"/>
        </w:rPr>
      </w:pPr>
      <w:hyperlink w:anchor="_Toc508896697" w:history="1">
        <w:r w:rsidR="000C174F" w:rsidRPr="00E9646D">
          <w:rPr>
            <w:rStyle w:val="Hyperlink"/>
          </w:rPr>
          <w:t>1.2.</w:t>
        </w:r>
        <w:r w:rsidR="000C174F">
          <w:rPr>
            <w:color w:val="auto"/>
            <w:sz w:val="22"/>
          </w:rPr>
          <w:tab/>
        </w:r>
        <w:r w:rsidR="000C174F" w:rsidRPr="00E9646D">
          <w:rPr>
            <w:rStyle w:val="Hyperlink"/>
          </w:rPr>
          <w:t>Definitions and interpretation</w:t>
        </w:r>
        <w:r w:rsidR="000C174F">
          <w:rPr>
            <w:webHidden/>
          </w:rPr>
          <w:tab/>
        </w:r>
        <w:r w:rsidR="000C174F">
          <w:rPr>
            <w:webHidden/>
          </w:rPr>
          <w:fldChar w:fldCharType="begin"/>
        </w:r>
        <w:r w:rsidR="000C174F">
          <w:rPr>
            <w:webHidden/>
          </w:rPr>
          <w:instrText xml:space="preserve"> PAGEREF _Toc508896697 \h </w:instrText>
        </w:r>
        <w:r w:rsidR="000C174F">
          <w:rPr>
            <w:webHidden/>
          </w:rPr>
        </w:r>
        <w:r w:rsidR="000C174F">
          <w:rPr>
            <w:webHidden/>
          </w:rPr>
          <w:fldChar w:fldCharType="separate"/>
        </w:r>
        <w:r w:rsidR="003E2BF7">
          <w:rPr>
            <w:webHidden/>
          </w:rPr>
          <w:t>4</w:t>
        </w:r>
        <w:r w:rsidR="000C174F">
          <w:rPr>
            <w:webHidden/>
          </w:rPr>
          <w:fldChar w:fldCharType="end"/>
        </w:r>
      </w:hyperlink>
    </w:p>
    <w:p w14:paraId="3E16C147" w14:textId="77777777" w:rsidR="000C174F" w:rsidRDefault="00AF71FC">
      <w:pPr>
        <w:pStyle w:val="TOC2"/>
        <w:rPr>
          <w:color w:val="auto"/>
          <w:sz w:val="22"/>
        </w:rPr>
      </w:pPr>
      <w:hyperlink w:anchor="_Toc508896698" w:history="1">
        <w:r w:rsidR="000C174F" w:rsidRPr="00E9646D">
          <w:rPr>
            <w:rStyle w:val="Hyperlink"/>
          </w:rPr>
          <w:t>1.3.</w:t>
        </w:r>
        <w:r w:rsidR="000C174F">
          <w:rPr>
            <w:color w:val="auto"/>
            <w:sz w:val="22"/>
          </w:rPr>
          <w:tab/>
        </w:r>
        <w:r w:rsidR="000C174F" w:rsidRPr="00E9646D">
          <w:rPr>
            <w:rStyle w:val="Hyperlink"/>
          </w:rPr>
          <w:t>Related documents</w:t>
        </w:r>
        <w:r w:rsidR="000C174F">
          <w:rPr>
            <w:webHidden/>
          </w:rPr>
          <w:tab/>
        </w:r>
        <w:r w:rsidR="000C174F">
          <w:rPr>
            <w:webHidden/>
          </w:rPr>
          <w:fldChar w:fldCharType="begin"/>
        </w:r>
        <w:r w:rsidR="000C174F">
          <w:rPr>
            <w:webHidden/>
          </w:rPr>
          <w:instrText xml:space="preserve"> PAGEREF _Toc508896698 \h </w:instrText>
        </w:r>
        <w:r w:rsidR="000C174F">
          <w:rPr>
            <w:webHidden/>
          </w:rPr>
        </w:r>
        <w:r w:rsidR="000C174F">
          <w:rPr>
            <w:webHidden/>
          </w:rPr>
          <w:fldChar w:fldCharType="separate"/>
        </w:r>
        <w:r w:rsidR="003E2BF7">
          <w:rPr>
            <w:webHidden/>
          </w:rPr>
          <w:t>7</w:t>
        </w:r>
        <w:r w:rsidR="000C174F">
          <w:rPr>
            <w:webHidden/>
          </w:rPr>
          <w:fldChar w:fldCharType="end"/>
        </w:r>
      </w:hyperlink>
    </w:p>
    <w:p w14:paraId="0A019457"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699" w:history="1">
        <w:r w:rsidR="000C174F" w:rsidRPr="00E9646D">
          <w:rPr>
            <w:rStyle w:val="Hyperlink"/>
            <w:lang w:eastAsia="en-AU"/>
          </w:rPr>
          <w:t>2.</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lang w:eastAsia="en-AU"/>
          </w:rPr>
          <w:t>General Principles</w:t>
        </w:r>
        <w:r w:rsidR="000C174F">
          <w:rPr>
            <w:webHidden/>
          </w:rPr>
          <w:tab/>
        </w:r>
        <w:r w:rsidR="000C174F">
          <w:rPr>
            <w:webHidden/>
          </w:rPr>
          <w:fldChar w:fldCharType="begin"/>
        </w:r>
        <w:r w:rsidR="000C174F">
          <w:rPr>
            <w:webHidden/>
          </w:rPr>
          <w:instrText xml:space="preserve"> PAGEREF _Toc508896699 \h </w:instrText>
        </w:r>
        <w:r w:rsidR="000C174F">
          <w:rPr>
            <w:webHidden/>
          </w:rPr>
        </w:r>
        <w:r w:rsidR="000C174F">
          <w:rPr>
            <w:webHidden/>
          </w:rPr>
          <w:fldChar w:fldCharType="separate"/>
        </w:r>
        <w:r w:rsidR="003E2BF7">
          <w:rPr>
            <w:webHidden/>
          </w:rPr>
          <w:t>7</w:t>
        </w:r>
        <w:r w:rsidR="000C174F">
          <w:rPr>
            <w:webHidden/>
          </w:rPr>
          <w:fldChar w:fldCharType="end"/>
        </w:r>
      </w:hyperlink>
    </w:p>
    <w:p w14:paraId="79A49562"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00" w:history="1">
        <w:r w:rsidR="000C174F" w:rsidRPr="00E9646D">
          <w:rPr>
            <w:rStyle w:val="Hyperlink"/>
            <w:lang w:eastAsia="en-AU"/>
          </w:rPr>
          <w:t>3.</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lang w:eastAsia="en-AU"/>
          </w:rPr>
          <w:t>OVERVIEW OF Calculation Process</w:t>
        </w:r>
        <w:r w:rsidR="000C174F">
          <w:rPr>
            <w:webHidden/>
          </w:rPr>
          <w:tab/>
        </w:r>
        <w:r w:rsidR="000C174F">
          <w:rPr>
            <w:webHidden/>
          </w:rPr>
          <w:fldChar w:fldCharType="begin"/>
        </w:r>
        <w:r w:rsidR="000C174F">
          <w:rPr>
            <w:webHidden/>
          </w:rPr>
          <w:instrText xml:space="preserve"> PAGEREF _Toc508896700 \h </w:instrText>
        </w:r>
        <w:r w:rsidR="000C174F">
          <w:rPr>
            <w:webHidden/>
          </w:rPr>
        </w:r>
        <w:r w:rsidR="000C174F">
          <w:rPr>
            <w:webHidden/>
          </w:rPr>
          <w:fldChar w:fldCharType="separate"/>
        </w:r>
        <w:r w:rsidR="003E2BF7">
          <w:rPr>
            <w:webHidden/>
          </w:rPr>
          <w:t>8</w:t>
        </w:r>
        <w:r w:rsidR="000C174F">
          <w:rPr>
            <w:webHidden/>
          </w:rPr>
          <w:fldChar w:fldCharType="end"/>
        </w:r>
      </w:hyperlink>
    </w:p>
    <w:p w14:paraId="3A03D141"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03" w:history="1">
        <w:r w:rsidR="000C174F" w:rsidRPr="00E9646D">
          <w:rPr>
            <w:rStyle w:val="Hyperlink"/>
            <w:lang w:eastAsia="en-AU"/>
          </w:rPr>
          <w:t>4.</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lang w:eastAsia="en-AU"/>
          </w:rPr>
          <w:t>Collect Inputs</w:t>
        </w:r>
        <w:r w:rsidR="000C174F">
          <w:rPr>
            <w:webHidden/>
          </w:rPr>
          <w:tab/>
        </w:r>
        <w:r w:rsidR="000C174F">
          <w:rPr>
            <w:webHidden/>
          </w:rPr>
          <w:fldChar w:fldCharType="begin"/>
        </w:r>
        <w:r w:rsidR="000C174F">
          <w:rPr>
            <w:webHidden/>
          </w:rPr>
          <w:instrText xml:space="preserve"> PAGEREF _Toc508896703 \h </w:instrText>
        </w:r>
        <w:r w:rsidR="000C174F">
          <w:rPr>
            <w:webHidden/>
          </w:rPr>
        </w:r>
        <w:r w:rsidR="000C174F">
          <w:rPr>
            <w:webHidden/>
          </w:rPr>
          <w:fldChar w:fldCharType="separate"/>
        </w:r>
        <w:r w:rsidR="003E2BF7">
          <w:rPr>
            <w:webHidden/>
          </w:rPr>
          <w:t>10</w:t>
        </w:r>
        <w:r w:rsidR="000C174F">
          <w:rPr>
            <w:webHidden/>
          </w:rPr>
          <w:fldChar w:fldCharType="end"/>
        </w:r>
      </w:hyperlink>
    </w:p>
    <w:p w14:paraId="3F7F7FCF" w14:textId="77777777" w:rsidR="000C174F" w:rsidRDefault="00AF71FC">
      <w:pPr>
        <w:pStyle w:val="TOC2"/>
        <w:rPr>
          <w:color w:val="auto"/>
          <w:sz w:val="22"/>
        </w:rPr>
      </w:pPr>
      <w:hyperlink w:anchor="_Toc508896704" w:history="1">
        <w:r w:rsidR="000C174F" w:rsidRPr="00E9646D">
          <w:rPr>
            <w:rStyle w:val="Hyperlink"/>
            <w:lang w:eastAsia="en-AU"/>
          </w:rPr>
          <w:t>4.1.</w:t>
        </w:r>
        <w:r w:rsidR="000C174F">
          <w:rPr>
            <w:color w:val="auto"/>
            <w:sz w:val="22"/>
          </w:rPr>
          <w:tab/>
        </w:r>
        <w:r w:rsidR="000C174F" w:rsidRPr="00E9646D">
          <w:rPr>
            <w:rStyle w:val="Hyperlink"/>
            <w:lang w:eastAsia="en-AU"/>
          </w:rPr>
          <w:t>Gather 4-Second Data</w:t>
        </w:r>
        <w:r w:rsidR="000C174F">
          <w:rPr>
            <w:webHidden/>
          </w:rPr>
          <w:tab/>
        </w:r>
        <w:r w:rsidR="000C174F">
          <w:rPr>
            <w:webHidden/>
          </w:rPr>
          <w:fldChar w:fldCharType="begin"/>
        </w:r>
        <w:r w:rsidR="000C174F">
          <w:rPr>
            <w:webHidden/>
          </w:rPr>
          <w:instrText xml:space="preserve"> PAGEREF _Toc508896704 \h </w:instrText>
        </w:r>
        <w:r w:rsidR="000C174F">
          <w:rPr>
            <w:webHidden/>
          </w:rPr>
        </w:r>
        <w:r w:rsidR="000C174F">
          <w:rPr>
            <w:webHidden/>
          </w:rPr>
          <w:fldChar w:fldCharType="separate"/>
        </w:r>
        <w:r w:rsidR="003E2BF7">
          <w:rPr>
            <w:webHidden/>
          </w:rPr>
          <w:t>10</w:t>
        </w:r>
        <w:r w:rsidR="000C174F">
          <w:rPr>
            <w:webHidden/>
          </w:rPr>
          <w:fldChar w:fldCharType="end"/>
        </w:r>
      </w:hyperlink>
    </w:p>
    <w:p w14:paraId="1956EFD5" w14:textId="77777777" w:rsidR="000C174F" w:rsidRDefault="00AF71FC">
      <w:pPr>
        <w:pStyle w:val="TOC2"/>
        <w:rPr>
          <w:color w:val="auto"/>
          <w:sz w:val="22"/>
        </w:rPr>
      </w:pPr>
      <w:hyperlink w:anchor="_Toc508896705" w:history="1">
        <w:r w:rsidR="000C174F" w:rsidRPr="00E9646D">
          <w:rPr>
            <w:rStyle w:val="Hyperlink"/>
          </w:rPr>
          <w:t>4.2.</w:t>
        </w:r>
        <w:r w:rsidR="000C174F">
          <w:rPr>
            <w:color w:val="auto"/>
            <w:sz w:val="22"/>
          </w:rPr>
          <w:tab/>
        </w:r>
        <w:r w:rsidR="000C174F" w:rsidRPr="00E9646D">
          <w:rPr>
            <w:rStyle w:val="Hyperlink"/>
          </w:rPr>
          <w:t>Estimated FIs and Preprocessing</w:t>
        </w:r>
        <w:r w:rsidR="000C174F">
          <w:rPr>
            <w:webHidden/>
          </w:rPr>
          <w:tab/>
        </w:r>
        <w:r w:rsidR="000C174F">
          <w:rPr>
            <w:webHidden/>
          </w:rPr>
          <w:fldChar w:fldCharType="begin"/>
        </w:r>
        <w:r w:rsidR="000C174F">
          <w:rPr>
            <w:webHidden/>
          </w:rPr>
          <w:instrText xml:space="preserve"> PAGEREF _Toc508896705 \h </w:instrText>
        </w:r>
        <w:r w:rsidR="000C174F">
          <w:rPr>
            <w:webHidden/>
          </w:rPr>
        </w:r>
        <w:r w:rsidR="000C174F">
          <w:rPr>
            <w:webHidden/>
          </w:rPr>
          <w:fldChar w:fldCharType="separate"/>
        </w:r>
        <w:r w:rsidR="003E2BF7">
          <w:rPr>
            <w:webHidden/>
          </w:rPr>
          <w:t>11</w:t>
        </w:r>
        <w:r w:rsidR="000C174F">
          <w:rPr>
            <w:webHidden/>
          </w:rPr>
          <w:fldChar w:fldCharType="end"/>
        </w:r>
      </w:hyperlink>
    </w:p>
    <w:p w14:paraId="373B8ABB"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06" w:history="1">
        <w:r w:rsidR="000C174F" w:rsidRPr="00E9646D">
          <w:rPr>
            <w:rStyle w:val="Hyperlink"/>
          </w:rPr>
          <w:t>5.</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rPr>
          <w:t>Assess Performance</w:t>
        </w:r>
        <w:r w:rsidR="000C174F">
          <w:rPr>
            <w:webHidden/>
          </w:rPr>
          <w:tab/>
        </w:r>
        <w:r w:rsidR="000C174F">
          <w:rPr>
            <w:webHidden/>
          </w:rPr>
          <w:fldChar w:fldCharType="begin"/>
        </w:r>
        <w:r w:rsidR="000C174F">
          <w:rPr>
            <w:webHidden/>
          </w:rPr>
          <w:instrText xml:space="preserve"> PAGEREF _Toc508896706 \h </w:instrText>
        </w:r>
        <w:r w:rsidR="000C174F">
          <w:rPr>
            <w:webHidden/>
          </w:rPr>
        </w:r>
        <w:r w:rsidR="000C174F">
          <w:rPr>
            <w:webHidden/>
          </w:rPr>
          <w:fldChar w:fldCharType="separate"/>
        </w:r>
        <w:r w:rsidR="003E2BF7">
          <w:rPr>
            <w:webHidden/>
          </w:rPr>
          <w:t>12</w:t>
        </w:r>
        <w:r w:rsidR="000C174F">
          <w:rPr>
            <w:webHidden/>
          </w:rPr>
          <w:fldChar w:fldCharType="end"/>
        </w:r>
      </w:hyperlink>
    </w:p>
    <w:p w14:paraId="0246054C" w14:textId="77777777" w:rsidR="000C174F" w:rsidRDefault="00AF71FC">
      <w:pPr>
        <w:pStyle w:val="TOC2"/>
        <w:rPr>
          <w:color w:val="auto"/>
          <w:sz w:val="22"/>
        </w:rPr>
      </w:pPr>
      <w:hyperlink w:anchor="_Toc508896707" w:history="1">
        <w:r w:rsidR="000C174F" w:rsidRPr="00E9646D">
          <w:rPr>
            <w:rStyle w:val="Hyperlink"/>
          </w:rPr>
          <w:t>5.1.</w:t>
        </w:r>
        <w:r w:rsidR="000C174F">
          <w:rPr>
            <w:color w:val="auto"/>
            <w:sz w:val="22"/>
          </w:rPr>
          <w:tab/>
        </w:r>
        <w:r w:rsidR="000C174F" w:rsidRPr="00E9646D">
          <w:rPr>
            <w:rStyle w:val="Hyperlink"/>
          </w:rPr>
          <w:t>Determine 4-Second Deviation Values</w:t>
        </w:r>
        <w:r w:rsidR="000C174F">
          <w:rPr>
            <w:webHidden/>
          </w:rPr>
          <w:tab/>
        </w:r>
        <w:r w:rsidR="000C174F">
          <w:rPr>
            <w:webHidden/>
          </w:rPr>
          <w:fldChar w:fldCharType="begin"/>
        </w:r>
        <w:r w:rsidR="000C174F">
          <w:rPr>
            <w:webHidden/>
          </w:rPr>
          <w:instrText xml:space="preserve"> PAGEREF _Toc508896707 \h </w:instrText>
        </w:r>
        <w:r w:rsidR="000C174F">
          <w:rPr>
            <w:webHidden/>
          </w:rPr>
        </w:r>
        <w:r w:rsidR="000C174F">
          <w:rPr>
            <w:webHidden/>
          </w:rPr>
          <w:fldChar w:fldCharType="separate"/>
        </w:r>
        <w:r w:rsidR="003E2BF7">
          <w:rPr>
            <w:webHidden/>
          </w:rPr>
          <w:t>12</w:t>
        </w:r>
        <w:r w:rsidR="000C174F">
          <w:rPr>
            <w:webHidden/>
          </w:rPr>
          <w:fldChar w:fldCharType="end"/>
        </w:r>
      </w:hyperlink>
    </w:p>
    <w:p w14:paraId="5345F486" w14:textId="48BA66D8" w:rsidR="000C174F" w:rsidRDefault="00AF71FC">
      <w:pPr>
        <w:pStyle w:val="TOC2"/>
        <w:rPr>
          <w:color w:val="auto"/>
          <w:sz w:val="22"/>
        </w:rPr>
      </w:pPr>
      <w:hyperlink w:anchor="_Toc508896708" w:history="1">
        <w:r w:rsidR="000C174F" w:rsidRPr="00E9646D">
          <w:rPr>
            <w:rStyle w:val="Hyperlink"/>
          </w:rPr>
          <w:t>5.2.</w:t>
        </w:r>
        <w:r w:rsidR="000C174F">
          <w:rPr>
            <w:color w:val="auto"/>
            <w:sz w:val="22"/>
          </w:rPr>
          <w:tab/>
        </w:r>
        <w:r w:rsidR="000C174F" w:rsidRPr="00E9646D">
          <w:rPr>
            <w:rStyle w:val="Hyperlink"/>
          </w:rPr>
          <w:t>Scale Deviations by the FI</w:t>
        </w:r>
        <w:r w:rsidR="000C174F">
          <w:rPr>
            <w:webHidden/>
          </w:rPr>
          <w:tab/>
        </w:r>
        <w:r w:rsidR="000C174F">
          <w:rPr>
            <w:webHidden/>
          </w:rPr>
          <w:fldChar w:fldCharType="begin"/>
        </w:r>
        <w:r w:rsidR="000C174F">
          <w:rPr>
            <w:webHidden/>
          </w:rPr>
          <w:instrText xml:space="preserve"> PAGEREF _Toc508896708 \h </w:instrText>
        </w:r>
        <w:r w:rsidR="000C174F">
          <w:rPr>
            <w:webHidden/>
          </w:rPr>
        </w:r>
        <w:r w:rsidR="000C174F">
          <w:rPr>
            <w:webHidden/>
          </w:rPr>
          <w:fldChar w:fldCharType="separate"/>
        </w:r>
        <w:r w:rsidR="003E2BF7">
          <w:rPr>
            <w:webHidden/>
          </w:rPr>
          <w:t>16</w:t>
        </w:r>
        <w:r w:rsidR="000C174F">
          <w:rPr>
            <w:webHidden/>
          </w:rPr>
          <w:fldChar w:fldCharType="end"/>
        </w:r>
      </w:hyperlink>
    </w:p>
    <w:p w14:paraId="3DC29033"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09" w:history="1">
        <w:r w:rsidR="000C174F" w:rsidRPr="00E9646D">
          <w:rPr>
            <w:rStyle w:val="Hyperlink"/>
          </w:rPr>
          <w:t>6.</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rPr>
          <w:t>Process and aggregate factors by unit or load</w:t>
        </w:r>
        <w:r w:rsidR="000C174F">
          <w:rPr>
            <w:webHidden/>
          </w:rPr>
          <w:tab/>
        </w:r>
        <w:r w:rsidR="000C174F">
          <w:rPr>
            <w:webHidden/>
          </w:rPr>
          <w:fldChar w:fldCharType="begin"/>
        </w:r>
        <w:r w:rsidR="000C174F">
          <w:rPr>
            <w:webHidden/>
          </w:rPr>
          <w:instrText xml:space="preserve"> PAGEREF _Toc508896709 \h </w:instrText>
        </w:r>
        <w:r w:rsidR="000C174F">
          <w:rPr>
            <w:webHidden/>
          </w:rPr>
        </w:r>
        <w:r w:rsidR="000C174F">
          <w:rPr>
            <w:webHidden/>
          </w:rPr>
          <w:fldChar w:fldCharType="separate"/>
        </w:r>
        <w:r w:rsidR="003E2BF7">
          <w:rPr>
            <w:webHidden/>
          </w:rPr>
          <w:t>17</w:t>
        </w:r>
        <w:r w:rsidR="000C174F">
          <w:rPr>
            <w:webHidden/>
          </w:rPr>
          <w:fldChar w:fldCharType="end"/>
        </w:r>
      </w:hyperlink>
    </w:p>
    <w:p w14:paraId="6C22C4FF" w14:textId="77777777" w:rsidR="000C174F" w:rsidRDefault="00AF71FC">
      <w:pPr>
        <w:pStyle w:val="TOC2"/>
        <w:rPr>
          <w:color w:val="auto"/>
          <w:sz w:val="22"/>
        </w:rPr>
      </w:pPr>
      <w:hyperlink w:anchor="_Toc508896710" w:history="1">
        <w:r w:rsidR="000C174F" w:rsidRPr="00E9646D">
          <w:rPr>
            <w:rStyle w:val="Hyperlink"/>
          </w:rPr>
          <w:t>6.1.</w:t>
        </w:r>
        <w:r w:rsidR="000C174F">
          <w:rPr>
            <w:color w:val="auto"/>
            <w:sz w:val="22"/>
          </w:rPr>
          <w:tab/>
        </w:r>
        <w:r w:rsidR="000C174F" w:rsidRPr="00E9646D">
          <w:rPr>
            <w:rStyle w:val="Hyperlink"/>
          </w:rPr>
          <w:t>Categorise and Aggregate 4 Second Performance Measures</w:t>
        </w:r>
        <w:r w:rsidR="000C174F">
          <w:rPr>
            <w:webHidden/>
          </w:rPr>
          <w:tab/>
        </w:r>
        <w:r w:rsidR="000C174F">
          <w:rPr>
            <w:webHidden/>
          </w:rPr>
          <w:fldChar w:fldCharType="begin"/>
        </w:r>
        <w:r w:rsidR="000C174F">
          <w:rPr>
            <w:webHidden/>
          </w:rPr>
          <w:instrText xml:space="preserve"> PAGEREF _Toc508896710 \h </w:instrText>
        </w:r>
        <w:r w:rsidR="000C174F">
          <w:rPr>
            <w:webHidden/>
          </w:rPr>
        </w:r>
        <w:r w:rsidR="000C174F">
          <w:rPr>
            <w:webHidden/>
          </w:rPr>
          <w:fldChar w:fldCharType="separate"/>
        </w:r>
        <w:r w:rsidR="003E2BF7">
          <w:rPr>
            <w:webHidden/>
          </w:rPr>
          <w:t>17</w:t>
        </w:r>
        <w:r w:rsidR="000C174F">
          <w:rPr>
            <w:webHidden/>
          </w:rPr>
          <w:fldChar w:fldCharType="end"/>
        </w:r>
      </w:hyperlink>
    </w:p>
    <w:p w14:paraId="0CEC6DFD" w14:textId="77777777" w:rsidR="000C174F" w:rsidRDefault="00AF71FC">
      <w:pPr>
        <w:pStyle w:val="TOC2"/>
        <w:rPr>
          <w:color w:val="auto"/>
          <w:sz w:val="22"/>
        </w:rPr>
      </w:pPr>
      <w:hyperlink w:anchor="_Toc508896711" w:history="1">
        <w:r w:rsidR="000C174F" w:rsidRPr="00E9646D">
          <w:rPr>
            <w:rStyle w:val="Hyperlink"/>
          </w:rPr>
          <w:t>6.2.</w:t>
        </w:r>
        <w:r w:rsidR="000C174F">
          <w:rPr>
            <w:color w:val="auto"/>
            <w:sz w:val="22"/>
          </w:rPr>
          <w:tab/>
        </w:r>
        <w:r w:rsidR="000C174F" w:rsidRPr="00E9646D">
          <w:rPr>
            <w:rStyle w:val="Hyperlink"/>
          </w:rPr>
          <w:t>Exclude Periods Affected by Contingencies or Bad SCADA</w:t>
        </w:r>
        <w:r w:rsidR="000C174F">
          <w:rPr>
            <w:webHidden/>
          </w:rPr>
          <w:tab/>
        </w:r>
        <w:r w:rsidR="000C174F">
          <w:rPr>
            <w:webHidden/>
          </w:rPr>
          <w:fldChar w:fldCharType="begin"/>
        </w:r>
        <w:r w:rsidR="000C174F">
          <w:rPr>
            <w:webHidden/>
          </w:rPr>
          <w:instrText xml:space="preserve"> PAGEREF _Toc508896711 \h </w:instrText>
        </w:r>
        <w:r w:rsidR="000C174F">
          <w:rPr>
            <w:webHidden/>
          </w:rPr>
        </w:r>
        <w:r w:rsidR="000C174F">
          <w:rPr>
            <w:webHidden/>
          </w:rPr>
          <w:fldChar w:fldCharType="separate"/>
        </w:r>
        <w:r w:rsidR="003E2BF7">
          <w:rPr>
            <w:webHidden/>
          </w:rPr>
          <w:t>18</w:t>
        </w:r>
        <w:r w:rsidR="000C174F">
          <w:rPr>
            <w:webHidden/>
          </w:rPr>
          <w:fldChar w:fldCharType="end"/>
        </w:r>
      </w:hyperlink>
    </w:p>
    <w:p w14:paraId="6544466B" w14:textId="77777777" w:rsidR="000C174F" w:rsidRDefault="00AF71FC">
      <w:pPr>
        <w:pStyle w:val="TOC2"/>
        <w:rPr>
          <w:color w:val="auto"/>
          <w:sz w:val="22"/>
        </w:rPr>
      </w:pPr>
      <w:hyperlink w:anchor="_Toc508896712" w:history="1">
        <w:r w:rsidR="000C174F" w:rsidRPr="00E9646D">
          <w:rPr>
            <w:rStyle w:val="Hyperlink"/>
          </w:rPr>
          <w:t>6.3.</w:t>
        </w:r>
        <w:r w:rsidR="000C174F">
          <w:rPr>
            <w:color w:val="auto"/>
            <w:sz w:val="22"/>
          </w:rPr>
          <w:tab/>
        </w:r>
        <w:r w:rsidR="000C174F" w:rsidRPr="00E9646D">
          <w:rPr>
            <w:rStyle w:val="Hyperlink"/>
          </w:rPr>
          <w:t>Aggregate to 28-day Factors for a Unit or Load</w:t>
        </w:r>
        <w:r w:rsidR="000C174F">
          <w:rPr>
            <w:webHidden/>
          </w:rPr>
          <w:tab/>
        </w:r>
        <w:r w:rsidR="000C174F">
          <w:rPr>
            <w:webHidden/>
          </w:rPr>
          <w:fldChar w:fldCharType="begin"/>
        </w:r>
        <w:r w:rsidR="000C174F">
          <w:rPr>
            <w:webHidden/>
          </w:rPr>
          <w:instrText xml:space="preserve"> PAGEREF _Toc508896712 \h </w:instrText>
        </w:r>
        <w:r w:rsidR="000C174F">
          <w:rPr>
            <w:webHidden/>
          </w:rPr>
        </w:r>
        <w:r w:rsidR="000C174F">
          <w:rPr>
            <w:webHidden/>
          </w:rPr>
          <w:fldChar w:fldCharType="separate"/>
        </w:r>
        <w:r w:rsidR="003E2BF7">
          <w:rPr>
            <w:webHidden/>
          </w:rPr>
          <w:t>18</w:t>
        </w:r>
        <w:r w:rsidR="000C174F">
          <w:rPr>
            <w:webHidden/>
          </w:rPr>
          <w:fldChar w:fldCharType="end"/>
        </w:r>
      </w:hyperlink>
    </w:p>
    <w:p w14:paraId="074E69F7"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13" w:history="1">
        <w:r w:rsidR="000C174F" w:rsidRPr="00E9646D">
          <w:rPr>
            <w:rStyle w:val="Hyperlink"/>
          </w:rPr>
          <w:t>7.</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rPr>
          <w:t>Global REQUIREMENT Contribution Factors</w:t>
        </w:r>
        <w:r w:rsidR="000C174F">
          <w:rPr>
            <w:webHidden/>
          </w:rPr>
          <w:tab/>
        </w:r>
        <w:r w:rsidR="000C174F">
          <w:rPr>
            <w:webHidden/>
          </w:rPr>
          <w:fldChar w:fldCharType="begin"/>
        </w:r>
        <w:r w:rsidR="000C174F">
          <w:rPr>
            <w:webHidden/>
          </w:rPr>
          <w:instrText xml:space="preserve"> PAGEREF _Toc508896713 \h </w:instrText>
        </w:r>
        <w:r w:rsidR="000C174F">
          <w:rPr>
            <w:webHidden/>
          </w:rPr>
        </w:r>
        <w:r w:rsidR="000C174F">
          <w:rPr>
            <w:webHidden/>
          </w:rPr>
          <w:fldChar w:fldCharType="separate"/>
        </w:r>
        <w:r w:rsidR="003E2BF7">
          <w:rPr>
            <w:webHidden/>
          </w:rPr>
          <w:t>19</w:t>
        </w:r>
        <w:r w:rsidR="000C174F">
          <w:rPr>
            <w:webHidden/>
          </w:rPr>
          <w:fldChar w:fldCharType="end"/>
        </w:r>
      </w:hyperlink>
    </w:p>
    <w:p w14:paraId="6643DC34" w14:textId="77777777" w:rsidR="000C174F" w:rsidRDefault="00AF71FC">
      <w:pPr>
        <w:pStyle w:val="TOC2"/>
        <w:rPr>
          <w:color w:val="auto"/>
          <w:sz w:val="22"/>
        </w:rPr>
      </w:pPr>
      <w:hyperlink w:anchor="_Toc508896714" w:history="1">
        <w:r w:rsidR="000C174F" w:rsidRPr="00E9646D">
          <w:rPr>
            <w:rStyle w:val="Hyperlink"/>
          </w:rPr>
          <w:t>7.1.</w:t>
        </w:r>
        <w:r w:rsidR="000C174F">
          <w:rPr>
            <w:color w:val="auto"/>
            <w:sz w:val="22"/>
          </w:rPr>
          <w:tab/>
        </w:r>
        <w:r w:rsidR="000C174F" w:rsidRPr="00E9646D">
          <w:rPr>
            <w:rStyle w:val="Hyperlink"/>
          </w:rPr>
          <w:t>General</w:t>
        </w:r>
        <w:r w:rsidR="000C174F">
          <w:rPr>
            <w:webHidden/>
          </w:rPr>
          <w:tab/>
        </w:r>
        <w:r w:rsidR="000C174F">
          <w:rPr>
            <w:webHidden/>
          </w:rPr>
          <w:fldChar w:fldCharType="begin"/>
        </w:r>
        <w:r w:rsidR="000C174F">
          <w:rPr>
            <w:webHidden/>
          </w:rPr>
          <w:instrText xml:space="preserve"> PAGEREF _Toc508896714 \h </w:instrText>
        </w:r>
        <w:r w:rsidR="000C174F">
          <w:rPr>
            <w:webHidden/>
          </w:rPr>
        </w:r>
        <w:r w:rsidR="000C174F">
          <w:rPr>
            <w:webHidden/>
          </w:rPr>
          <w:fldChar w:fldCharType="separate"/>
        </w:r>
        <w:r w:rsidR="003E2BF7">
          <w:rPr>
            <w:webHidden/>
          </w:rPr>
          <w:t>19</w:t>
        </w:r>
        <w:r w:rsidR="000C174F">
          <w:rPr>
            <w:webHidden/>
          </w:rPr>
          <w:fldChar w:fldCharType="end"/>
        </w:r>
      </w:hyperlink>
    </w:p>
    <w:p w14:paraId="5463AEED" w14:textId="77777777" w:rsidR="000C174F" w:rsidRDefault="00AF71FC">
      <w:pPr>
        <w:pStyle w:val="TOC2"/>
        <w:rPr>
          <w:color w:val="auto"/>
          <w:sz w:val="22"/>
        </w:rPr>
      </w:pPr>
      <w:hyperlink w:anchor="_Toc508896715" w:history="1">
        <w:r w:rsidR="000C174F" w:rsidRPr="00E9646D">
          <w:rPr>
            <w:rStyle w:val="Hyperlink"/>
          </w:rPr>
          <w:t>7.2.</w:t>
        </w:r>
        <w:r w:rsidR="000C174F">
          <w:rPr>
            <w:color w:val="auto"/>
            <w:sz w:val="22"/>
          </w:rPr>
          <w:tab/>
        </w:r>
        <w:r w:rsidR="000C174F" w:rsidRPr="00E9646D">
          <w:rPr>
            <w:rStyle w:val="Hyperlink"/>
          </w:rPr>
          <w:t>Aggregate Unit or Load Factors into Area Portfolio Factors</w:t>
        </w:r>
        <w:r w:rsidR="000C174F">
          <w:rPr>
            <w:webHidden/>
          </w:rPr>
          <w:tab/>
        </w:r>
        <w:r w:rsidR="000C174F">
          <w:rPr>
            <w:webHidden/>
          </w:rPr>
          <w:fldChar w:fldCharType="begin"/>
        </w:r>
        <w:r w:rsidR="000C174F">
          <w:rPr>
            <w:webHidden/>
          </w:rPr>
          <w:instrText xml:space="preserve"> PAGEREF _Toc508896715 \h </w:instrText>
        </w:r>
        <w:r w:rsidR="000C174F">
          <w:rPr>
            <w:webHidden/>
          </w:rPr>
        </w:r>
        <w:r w:rsidR="000C174F">
          <w:rPr>
            <w:webHidden/>
          </w:rPr>
          <w:fldChar w:fldCharType="separate"/>
        </w:r>
        <w:r w:rsidR="003E2BF7">
          <w:rPr>
            <w:webHidden/>
          </w:rPr>
          <w:t>19</w:t>
        </w:r>
        <w:r w:rsidR="000C174F">
          <w:rPr>
            <w:webHidden/>
          </w:rPr>
          <w:fldChar w:fldCharType="end"/>
        </w:r>
      </w:hyperlink>
    </w:p>
    <w:p w14:paraId="0F3A937E" w14:textId="77777777" w:rsidR="000C174F" w:rsidRDefault="00AF71FC">
      <w:pPr>
        <w:pStyle w:val="TOC2"/>
        <w:rPr>
          <w:color w:val="auto"/>
          <w:sz w:val="22"/>
        </w:rPr>
      </w:pPr>
      <w:hyperlink w:anchor="_Toc508896716" w:history="1">
        <w:r w:rsidR="000C174F" w:rsidRPr="00E9646D">
          <w:rPr>
            <w:rStyle w:val="Hyperlink"/>
          </w:rPr>
          <w:t>7.3.</w:t>
        </w:r>
        <w:r w:rsidR="000C174F">
          <w:rPr>
            <w:color w:val="auto"/>
            <w:sz w:val="22"/>
          </w:rPr>
          <w:tab/>
        </w:r>
        <w:r w:rsidR="000C174F" w:rsidRPr="00E9646D">
          <w:rPr>
            <w:rStyle w:val="Hyperlink"/>
          </w:rPr>
          <w:t>Calculate Area Totals for Component Types</w:t>
        </w:r>
        <w:r w:rsidR="000C174F">
          <w:rPr>
            <w:webHidden/>
          </w:rPr>
          <w:tab/>
        </w:r>
        <w:r w:rsidR="000C174F">
          <w:rPr>
            <w:webHidden/>
          </w:rPr>
          <w:fldChar w:fldCharType="begin"/>
        </w:r>
        <w:r w:rsidR="000C174F">
          <w:rPr>
            <w:webHidden/>
          </w:rPr>
          <w:instrText xml:space="preserve"> PAGEREF _Toc508896716 \h </w:instrText>
        </w:r>
        <w:r w:rsidR="000C174F">
          <w:rPr>
            <w:webHidden/>
          </w:rPr>
        </w:r>
        <w:r w:rsidR="000C174F">
          <w:rPr>
            <w:webHidden/>
          </w:rPr>
          <w:fldChar w:fldCharType="separate"/>
        </w:r>
        <w:r w:rsidR="003E2BF7">
          <w:rPr>
            <w:webHidden/>
          </w:rPr>
          <w:t>20</w:t>
        </w:r>
        <w:r w:rsidR="000C174F">
          <w:rPr>
            <w:webHidden/>
          </w:rPr>
          <w:fldChar w:fldCharType="end"/>
        </w:r>
      </w:hyperlink>
    </w:p>
    <w:p w14:paraId="5538F0A2" w14:textId="77777777" w:rsidR="000C174F" w:rsidRDefault="00AF71FC">
      <w:pPr>
        <w:pStyle w:val="TOC2"/>
        <w:rPr>
          <w:color w:val="auto"/>
          <w:sz w:val="22"/>
        </w:rPr>
      </w:pPr>
      <w:hyperlink w:anchor="_Toc508896717" w:history="1">
        <w:r w:rsidR="000C174F" w:rsidRPr="00E9646D">
          <w:rPr>
            <w:rStyle w:val="Hyperlink"/>
          </w:rPr>
          <w:t>7.4.</w:t>
        </w:r>
        <w:r w:rsidR="000C174F">
          <w:rPr>
            <w:color w:val="auto"/>
            <w:sz w:val="22"/>
          </w:rPr>
          <w:tab/>
        </w:r>
        <w:r w:rsidR="000C174F" w:rsidRPr="00E9646D">
          <w:rPr>
            <w:rStyle w:val="Hyperlink"/>
          </w:rPr>
          <w:t>Calculate Additional Derived Totals</w:t>
        </w:r>
        <w:r w:rsidR="000C174F">
          <w:rPr>
            <w:webHidden/>
          </w:rPr>
          <w:tab/>
        </w:r>
        <w:r w:rsidR="000C174F">
          <w:rPr>
            <w:webHidden/>
          </w:rPr>
          <w:fldChar w:fldCharType="begin"/>
        </w:r>
        <w:r w:rsidR="000C174F">
          <w:rPr>
            <w:webHidden/>
          </w:rPr>
          <w:instrText xml:space="preserve"> PAGEREF _Toc508896717 \h </w:instrText>
        </w:r>
        <w:r w:rsidR="000C174F">
          <w:rPr>
            <w:webHidden/>
          </w:rPr>
        </w:r>
        <w:r w:rsidR="000C174F">
          <w:rPr>
            <w:webHidden/>
          </w:rPr>
          <w:fldChar w:fldCharType="separate"/>
        </w:r>
        <w:r w:rsidR="003E2BF7">
          <w:rPr>
            <w:webHidden/>
          </w:rPr>
          <w:t>20</w:t>
        </w:r>
        <w:r w:rsidR="000C174F">
          <w:rPr>
            <w:webHidden/>
          </w:rPr>
          <w:fldChar w:fldCharType="end"/>
        </w:r>
      </w:hyperlink>
    </w:p>
    <w:p w14:paraId="047468F9" w14:textId="77777777" w:rsidR="000C174F" w:rsidRDefault="00AF71FC">
      <w:pPr>
        <w:pStyle w:val="TOC2"/>
        <w:rPr>
          <w:color w:val="auto"/>
          <w:sz w:val="22"/>
        </w:rPr>
      </w:pPr>
      <w:hyperlink w:anchor="_Toc508896718" w:history="1">
        <w:r w:rsidR="000C174F" w:rsidRPr="00E9646D">
          <w:rPr>
            <w:rStyle w:val="Hyperlink"/>
          </w:rPr>
          <w:t>7.5.</w:t>
        </w:r>
        <w:r w:rsidR="000C174F">
          <w:rPr>
            <w:color w:val="auto"/>
            <w:sz w:val="22"/>
          </w:rPr>
          <w:tab/>
        </w:r>
        <w:r w:rsidR="000C174F" w:rsidRPr="00E9646D">
          <w:rPr>
            <w:rStyle w:val="Hyperlink"/>
          </w:rPr>
          <w:t>Normalise to Produce Area Contribution Factors</w:t>
        </w:r>
        <w:r w:rsidR="000C174F">
          <w:rPr>
            <w:webHidden/>
          </w:rPr>
          <w:tab/>
        </w:r>
        <w:r w:rsidR="000C174F">
          <w:rPr>
            <w:webHidden/>
          </w:rPr>
          <w:fldChar w:fldCharType="begin"/>
        </w:r>
        <w:r w:rsidR="000C174F">
          <w:rPr>
            <w:webHidden/>
          </w:rPr>
          <w:instrText xml:space="preserve"> PAGEREF _Toc508896718 \h </w:instrText>
        </w:r>
        <w:r w:rsidR="000C174F">
          <w:rPr>
            <w:webHidden/>
          </w:rPr>
        </w:r>
        <w:r w:rsidR="000C174F">
          <w:rPr>
            <w:webHidden/>
          </w:rPr>
          <w:fldChar w:fldCharType="separate"/>
        </w:r>
        <w:r w:rsidR="003E2BF7">
          <w:rPr>
            <w:webHidden/>
          </w:rPr>
          <w:t>22</w:t>
        </w:r>
        <w:r w:rsidR="000C174F">
          <w:rPr>
            <w:webHidden/>
          </w:rPr>
          <w:fldChar w:fldCharType="end"/>
        </w:r>
      </w:hyperlink>
    </w:p>
    <w:p w14:paraId="00EBBE13" w14:textId="77777777" w:rsidR="000C174F" w:rsidRDefault="00AF71FC">
      <w:pPr>
        <w:pStyle w:val="TOC2"/>
        <w:rPr>
          <w:color w:val="auto"/>
          <w:sz w:val="22"/>
        </w:rPr>
      </w:pPr>
      <w:hyperlink w:anchor="_Toc508896719" w:history="1">
        <w:r w:rsidR="000C174F" w:rsidRPr="00E9646D">
          <w:rPr>
            <w:rStyle w:val="Hyperlink"/>
          </w:rPr>
          <w:t>7.6.</w:t>
        </w:r>
        <w:r w:rsidR="000C174F">
          <w:rPr>
            <w:color w:val="auto"/>
            <w:sz w:val="22"/>
          </w:rPr>
          <w:tab/>
        </w:r>
        <w:r w:rsidR="000C174F" w:rsidRPr="00E9646D">
          <w:rPr>
            <w:rStyle w:val="Hyperlink"/>
          </w:rPr>
          <w:t>Normalise to Produce Global Requirement Contribution Factors</w:t>
        </w:r>
        <w:r w:rsidR="000C174F">
          <w:rPr>
            <w:webHidden/>
          </w:rPr>
          <w:tab/>
        </w:r>
        <w:r w:rsidR="000C174F">
          <w:rPr>
            <w:webHidden/>
          </w:rPr>
          <w:fldChar w:fldCharType="begin"/>
        </w:r>
        <w:r w:rsidR="000C174F">
          <w:rPr>
            <w:webHidden/>
          </w:rPr>
          <w:instrText xml:space="preserve"> PAGEREF _Toc508896719 \h </w:instrText>
        </w:r>
        <w:r w:rsidR="000C174F">
          <w:rPr>
            <w:webHidden/>
          </w:rPr>
        </w:r>
        <w:r w:rsidR="000C174F">
          <w:rPr>
            <w:webHidden/>
          </w:rPr>
          <w:fldChar w:fldCharType="separate"/>
        </w:r>
        <w:r w:rsidR="003E2BF7">
          <w:rPr>
            <w:webHidden/>
          </w:rPr>
          <w:t>22</w:t>
        </w:r>
        <w:r w:rsidR="000C174F">
          <w:rPr>
            <w:webHidden/>
          </w:rPr>
          <w:fldChar w:fldCharType="end"/>
        </w:r>
      </w:hyperlink>
    </w:p>
    <w:p w14:paraId="6EE7996B"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20" w:history="1">
        <w:r w:rsidR="000C174F" w:rsidRPr="00E9646D">
          <w:rPr>
            <w:rStyle w:val="Hyperlink"/>
          </w:rPr>
          <w:t>8.</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rPr>
          <w:t>Local ReQuirement Contribution Factors</w:t>
        </w:r>
        <w:r w:rsidR="000C174F">
          <w:rPr>
            <w:webHidden/>
          </w:rPr>
          <w:tab/>
        </w:r>
        <w:r w:rsidR="000C174F">
          <w:rPr>
            <w:webHidden/>
          </w:rPr>
          <w:fldChar w:fldCharType="begin"/>
        </w:r>
        <w:r w:rsidR="000C174F">
          <w:rPr>
            <w:webHidden/>
          </w:rPr>
          <w:instrText xml:space="preserve"> PAGEREF _Toc508896720 \h </w:instrText>
        </w:r>
        <w:r w:rsidR="000C174F">
          <w:rPr>
            <w:webHidden/>
          </w:rPr>
        </w:r>
        <w:r w:rsidR="000C174F">
          <w:rPr>
            <w:webHidden/>
          </w:rPr>
          <w:fldChar w:fldCharType="separate"/>
        </w:r>
        <w:r w:rsidR="003E2BF7">
          <w:rPr>
            <w:webHidden/>
          </w:rPr>
          <w:t>22</w:t>
        </w:r>
        <w:r w:rsidR="000C174F">
          <w:rPr>
            <w:webHidden/>
          </w:rPr>
          <w:fldChar w:fldCharType="end"/>
        </w:r>
      </w:hyperlink>
    </w:p>
    <w:p w14:paraId="45F598C1" w14:textId="77777777" w:rsidR="000C174F" w:rsidRDefault="00AF71FC">
      <w:pPr>
        <w:pStyle w:val="TOC2"/>
        <w:rPr>
          <w:color w:val="auto"/>
          <w:sz w:val="22"/>
        </w:rPr>
      </w:pPr>
      <w:hyperlink w:anchor="_Toc508896721" w:history="1">
        <w:r w:rsidR="000C174F" w:rsidRPr="00E9646D">
          <w:rPr>
            <w:rStyle w:val="Hyperlink"/>
          </w:rPr>
          <w:t>8.1.</w:t>
        </w:r>
        <w:r w:rsidR="000C174F">
          <w:rPr>
            <w:color w:val="auto"/>
            <w:sz w:val="22"/>
          </w:rPr>
          <w:tab/>
        </w:r>
        <w:r w:rsidR="000C174F" w:rsidRPr="00E9646D">
          <w:rPr>
            <w:rStyle w:val="Hyperlink"/>
          </w:rPr>
          <w:t>General</w:t>
        </w:r>
        <w:r w:rsidR="000C174F">
          <w:rPr>
            <w:webHidden/>
          </w:rPr>
          <w:tab/>
        </w:r>
        <w:r w:rsidR="000C174F">
          <w:rPr>
            <w:webHidden/>
          </w:rPr>
          <w:fldChar w:fldCharType="begin"/>
        </w:r>
        <w:r w:rsidR="000C174F">
          <w:rPr>
            <w:webHidden/>
          </w:rPr>
          <w:instrText xml:space="preserve"> PAGEREF _Toc508896721 \h </w:instrText>
        </w:r>
        <w:r w:rsidR="000C174F">
          <w:rPr>
            <w:webHidden/>
          </w:rPr>
        </w:r>
        <w:r w:rsidR="000C174F">
          <w:rPr>
            <w:webHidden/>
          </w:rPr>
          <w:fldChar w:fldCharType="separate"/>
        </w:r>
        <w:r w:rsidR="003E2BF7">
          <w:rPr>
            <w:webHidden/>
          </w:rPr>
          <w:t>23</w:t>
        </w:r>
        <w:r w:rsidR="000C174F">
          <w:rPr>
            <w:webHidden/>
          </w:rPr>
          <w:fldChar w:fldCharType="end"/>
        </w:r>
      </w:hyperlink>
    </w:p>
    <w:p w14:paraId="79F2054B" w14:textId="77777777" w:rsidR="000C174F" w:rsidRDefault="00AF71FC">
      <w:pPr>
        <w:pStyle w:val="TOC2"/>
        <w:rPr>
          <w:color w:val="auto"/>
          <w:sz w:val="22"/>
        </w:rPr>
      </w:pPr>
      <w:hyperlink w:anchor="_Toc508896722" w:history="1">
        <w:r w:rsidR="000C174F" w:rsidRPr="00E9646D">
          <w:rPr>
            <w:rStyle w:val="Hyperlink"/>
            <w:lang w:eastAsia="en-AU"/>
          </w:rPr>
          <w:t>8.2.</w:t>
        </w:r>
        <w:r w:rsidR="000C174F">
          <w:rPr>
            <w:color w:val="auto"/>
            <w:sz w:val="22"/>
          </w:rPr>
          <w:tab/>
        </w:r>
        <w:r w:rsidR="000C174F" w:rsidRPr="00E9646D">
          <w:rPr>
            <w:rStyle w:val="Hyperlink"/>
            <w:lang w:eastAsia="en-AU"/>
          </w:rPr>
          <w:t>Identifying Relevant Market Participants</w:t>
        </w:r>
        <w:r w:rsidR="000C174F">
          <w:rPr>
            <w:webHidden/>
          </w:rPr>
          <w:tab/>
        </w:r>
        <w:r w:rsidR="000C174F">
          <w:rPr>
            <w:webHidden/>
          </w:rPr>
          <w:fldChar w:fldCharType="begin"/>
        </w:r>
        <w:r w:rsidR="000C174F">
          <w:rPr>
            <w:webHidden/>
          </w:rPr>
          <w:instrText xml:space="preserve"> PAGEREF _Toc508896722 \h </w:instrText>
        </w:r>
        <w:r w:rsidR="000C174F">
          <w:rPr>
            <w:webHidden/>
          </w:rPr>
        </w:r>
        <w:r w:rsidR="000C174F">
          <w:rPr>
            <w:webHidden/>
          </w:rPr>
          <w:fldChar w:fldCharType="separate"/>
        </w:r>
        <w:r w:rsidR="003E2BF7">
          <w:rPr>
            <w:webHidden/>
          </w:rPr>
          <w:t>23</w:t>
        </w:r>
        <w:r w:rsidR="000C174F">
          <w:rPr>
            <w:webHidden/>
          </w:rPr>
          <w:fldChar w:fldCharType="end"/>
        </w:r>
      </w:hyperlink>
    </w:p>
    <w:p w14:paraId="54C1FEA3" w14:textId="77777777" w:rsidR="000C174F" w:rsidRDefault="00AF71FC">
      <w:pPr>
        <w:pStyle w:val="TOC2"/>
        <w:rPr>
          <w:color w:val="auto"/>
          <w:sz w:val="22"/>
        </w:rPr>
      </w:pPr>
      <w:hyperlink w:anchor="_Toc508896723" w:history="1">
        <w:r w:rsidR="000C174F" w:rsidRPr="00E9646D">
          <w:rPr>
            <w:rStyle w:val="Hyperlink"/>
            <w:lang w:eastAsia="en-AU"/>
          </w:rPr>
          <w:t>8.3.</w:t>
        </w:r>
        <w:r w:rsidR="000C174F">
          <w:rPr>
            <w:color w:val="auto"/>
            <w:sz w:val="22"/>
          </w:rPr>
          <w:tab/>
        </w:r>
        <w:r w:rsidR="000C174F" w:rsidRPr="00E9646D">
          <w:rPr>
            <w:rStyle w:val="Hyperlink"/>
            <w:lang w:eastAsia="en-AU"/>
          </w:rPr>
          <w:t>Calculating CMPF, CRMPF and RAMPF Values</w:t>
        </w:r>
        <w:r w:rsidR="000C174F">
          <w:rPr>
            <w:webHidden/>
          </w:rPr>
          <w:tab/>
        </w:r>
        <w:r w:rsidR="000C174F">
          <w:rPr>
            <w:webHidden/>
          </w:rPr>
          <w:fldChar w:fldCharType="begin"/>
        </w:r>
        <w:r w:rsidR="000C174F">
          <w:rPr>
            <w:webHidden/>
          </w:rPr>
          <w:instrText xml:space="preserve"> PAGEREF _Toc508896723 \h </w:instrText>
        </w:r>
        <w:r w:rsidR="000C174F">
          <w:rPr>
            <w:webHidden/>
          </w:rPr>
        </w:r>
        <w:r w:rsidR="000C174F">
          <w:rPr>
            <w:webHidden/>
          </w:rPr>
          <w:fldChar w:fldCharType="separate"/>
        </w:r>
        <w:r w:rsidR="003E2BF7">
          <w:rPr>
            <w:webHidden/>
          </w:rPr>
          <w:t>23</w:t>
        </w:r>
        <w:r w:rsidR="000C174F">
          <w:rPr>
            <w:webHidden/>
          </w:rPr>
          <w:fldChar w:fldCharType="end"/>
        </w:r>
      </w:hyperlink>
    </w:p>
    <w:p w14:paraId="31529EBD" w14:textId="77777777" w:rsidR="000C174F" w:rsidRDefault="00AF71FC">
      <w:pPr>
        <w:pStyle w:val="TOC2"/>
        <w:rPr>
          <w:color w:val="auto"/>
          <w:sz w:val="22"/>
        </w:rPr>
      </w:pPr>
      <w:hyperlink w:anchor="_Toc508896724" w:history="1">
        <w:r w:rsidR="000C174F" w:rsidRPr="00E9646D">
          <w:rPr>
            <w:rStyle w:val="Hyperlink"/>
            <w:lang w:eastAsia="en-AU"/>
          </w:rPr>
          <w:t>8.4.</w:t>
        </w:r>
        <w:r w:rsidR="000C174F">
          <w:rPr>
            <w:color w:val="auto"/>
            <w:sz w:val="22"/>
          </w:rPr>
          <w:tab/>
        </w:r>
        <w:r w:rsidR="000C174F" w:rsidRPr="00E9646D">
          <w:rPr>
            <w:rStyle w:val="Hyperlink"/>
            <w:lang w:eastAsia="en-AU"/>
          </w:rPr>
          <w:t>Individual and Residual Contribution Factors</w:t>
        </w:r>
        <w:r w:rsidR="000C174F">
          <w:rPr>
            <w:webHidden/>
          </w:rPr>
          <w:tab/>
        </w:r>
        <w:r w:rsidR="000C174F">
          <w:rPr>
            <w:webHidden/>
          </w:rPr>
          <w:fldChar w:fldCharType="begin"/>
        </w:r>
        <w:r w:rsidR="000C174F">
          <w:rPr>
            <w:webHidden/>
          </w:rPr>
          <w:instrText xml:space="preserve"> PAGEREF _Toc508896724 \h </w:instrText>
        </w:r>
        <w:r w:rsidR="000C174F">
          <w:rPr>
            <w:webHidden/>
          </w:rPr>
        </w:r>
        <w:r w:rsidR="000C174F">
          <w:rPr>
            <w:webHidden/>
          </w:rPr>
          <w:fldChar w:fldCharType="separate"/>
        </w:r>
        <w:r w:rsidR="003E2BF7">
          <w:rPr>
            <w:webHidden/>
          </w:rPr>
          <w:t>24</w:t>
        </w:r>
        <w:r w:rsidR="000C174F">
          <w:rPr>
            <w:webHidden/>
          </w:rPr>
          <w:fldChar w:fldCharType="end"/>
        </w:r>
      </w:hyperlink>
    </w:p>
    <w:p w14:paraId="49A0853D" w14:textId="77777777" w:rsidR="000C174F" w:rsidRDefault="00AF71FC">
      <w:pPr>
        <w:pStyle w:val="TOC2"/>
        <w:rPr>
          <w:color w:val="auto"/>
          <w:sz w:val="22"/>
        </w:rPr>
      </w:pPr>
      <w:hyperlink w:anchor="_Toc508896725" w:history="1">
        <w:r w:rsidR="000C174F" w:rsidRPr="00E9646D">
          <w:rPr>
            <w:rStyle w:val="Hyperlink"/>
            <w:lang w:eastAsia="en-AU"/>
          </w:rPr>
          <w:t>8.5.</w:t>
        </w:r>
        <w:r w:rsidR="000C174F">
          <w:rPr>
            <w:color w:val="auto"/>
            <w:sz w:val="22"/>
          </w:rPr>
          <w:tab/>
        </w:r>
        <w:r w:rsidR="000C174F" w:rsidRPr="00E9646D">
          <w:rPr>
            <w:rStyle w:val="Hyperlink"/>
            <w:lang w:eastAsia="en-AU"/>
          </w:rPr>
          <w:t>Estimated CMPF and CRMPF Values</w:t>
        </w:r>
        <w:r w:rsidR="000C174F">
          <w:rPr>
            <w:webHidden/>
          </w:rPr>
          <w:tab/>
        </w:r>
        <w:r w:rsidR="000C174F">
          <w:rPr>
            <w:webHidden/>
          </w:rPr>
          <w:fldChar w:fldCharType="begin"/>
        </w:r>
        <w:r w:rsidR="000C174F">
          <w:rPr>
            <w:webHidden/>
          </w:rPr>
          <w:instrText xml:space="preserve"> PAGEREF _Toc508896725 \h </w:instrText>
        </w:r>
        <w:r w:rsidR="000C174F">
          <w:rPr>
            <w:webHidden/>
          </w:rPr>
        </w:r>
        <w:r w:rsidR="000C174F">
          <w:rPr>
            <w:webHidden/>
          </w:rPr>
          <w:fldChar w:fldCharType="separate"/>
        </w:r>
        <w:r w:rsidR="003E2BF7">
          <w:rPr>
            <w:webHidden/>
          </w:rPr>
          <w:t>24</w:t>
        </w:r>
        <w:r w:rsidR="000C174F">
          <w:rPr>
            <w:webHidden/>
          </w:rPr>
          <w:fldChar w:fldCharType="end"/>
        </w:r>
      </w:hyperlink>
    </w:p>
    <w:p w14:paraId="2E244110" w14:textId="77777777" w:rsidR="000C174F" w:rsidRDefault="00AF71FC">
      <w:pPr>
        <w:pStyle w:val="TOC1"/>
        <w:rPr>
          <w:rFonts w:asciiTheme="minorHAnsi" w:eastAsiaTheme="minorEastAsia" w:hAnsiTheme="minorHAnsi" w:cstheme="minorBidi"/>
          <w:b w:val="0"/>
          <w:caps w:val="0"/>
          <w:color w:val="auto"/>
          <w:sz w:val="22"/>
          <w:szCs w:val="22"/>
          <w:lang w:eastAsia="en-AU"/>
        </w:rPr>
      </w:pPr>
      <w:hyperlink w:anchor="_Toc508896726" w:history="1">
        <w:r w:rsidR="000C174F" w:rsidRPr="00E9646D">
          <w:rPr>
            <w:rStyle w:val="Hyperlink"/>
          </w:rPr>
          <w:t>9.</w:t>
        </w:r>
        <w:r w:rsidR="000C174F">
          <w:rPr>
            <w:rFonts w:asciiTheme="minorHAnsi" w:eastAsiaTheme="minorEastAsia" w:hAnsiTheme="minorHAnsi" w:cstheme="minorBidi"/>
            <w:b w:val="0"/>
            <w:caps w:val="0"/>
            <w:color w:val="auto"/>
            <w:sz w:val="22"/>
            <w:szCs w:val="22"/>
            <w:lang w:eastAsia="en-AU"/>
          </w:rPr>
          <w:tab/>
        </w:r>
        <w:r w:rsidR="000C174F" w:rsidRPr="00E9646D">
          <w:rPr>
            <w:rStyle w:val="Hyperlink"/>
          </w:rPr>
          <w:t>Published DATA</w:t>
        </w:r>
        <w:r w:rsidR="000C174F">
          <w:rPr>
            <w:webHidden/>
          </w:rPr>
          <w:tab/>
        </w:r>
        <w:r w:rsidR="000C174F">
          <w:rPr>
            <w:webHidden/>
          </w:rPr>
          <w:fldChar w:fldCharType="begin"/>
        </w:r>
        <w:r w:rsidR="000C174F">
          <w:rPr>
            <w:webHidden/>
          </w:rPr>
          <w:instrText xml:space="preserve"> PAGEREF _Toc508896726 \h </w:instrText>
        </w:r>
        <w:r w:rsidR="000C174F">
          <w:rPr>
            <w:webHidden/>
          </w:rPr>
        </w:r>
        <w:r w:rsidR="000C174F">
          <w:rPr>
            <w:webHidden/>
          </w:rPr>
          <w:fldChar w:fldCharType="separate"/>
        </w:r>
        <w:r w:rsidR="003E2BF7">
          <w:rPr>
            <w:webHidden/>
          </w:rPr>
          <w:t>24</w:t>
        </w:r>
        <w:r w:rsidR="000C174F">
          <w:rPr>
            <w:webHidden/>
          </w:rPr>
          <w:fldChar w:fldCharType="end"/>
        </w:r>
      </w:hyperlink>
    </w:p>
    <w:p w14:paraId="0DDBD25B" w14:textId="77777777" w:rsidR="006B6119" w:rsidRDefault="006B6119" w:rsidP="006B6119">
      <w:r w:rsidRPr="00520420">
        <w:fldChar w:fldCharType="end"/>
      </w:r>
    </w:p>
    <w:p w14:paraId="1A209F64" w14:textId="79639B4E" w:rsidR="000F03C7" w:rsidRDefault="000F03C7" w:rsidP="006B6119">
      <w:pPr>
        <w:pStyle w:val="BodyText"/>
      </w:pPr>
    </w:p>
    <w:p w14:paraId="708F8156" w14:textId="77777777" w:rsidR="00137B19" w:rsidRDefault="00137B19" w:rsidP="006C13DF">
      <w:pPr>
        <w:pStyle w:val="BodyText"/>
        <w:sectPr w:rsidR="00137B19" w:rsidSect="005032D6">
          <w:headerReference w:type="even" r:id="rId21"/>
          <w:headerReference w:type="default" r:id="rId22"/>
          <w:footerReference w:type="even" r:id="rId23"/>
          <w:footerReference w:type="default" r:id="rId24"/>
          <w:headerReference w:type="first" r:id="rId25"/>
          <w:pgSz w:w="11906" w:h="16838"/>
          <w:pgMar w:top="1871" w:right="1361" w:bottom="1871" w:left="1361" w:header="1021" w:footer="567" w:gutter="0"/>
          <w:cols w:space="708"/>
          <w:docGrid w:linePitch="360"/>
        </w:sectPr>
      </w:pPr>
    </w:p>
    <w:p w14:paraId="4C61C16B" w14:textId="77777777" w:rsidR="004839BB" w:rsidRPr="00126592" w:rsidRDefault="004839BB" w:rsidP="00126592">
      <w:pPr>
        <w:pStyle w:val="Heading1"/>
      </w:pPr>
      <w:bookmarkStart w:id="1" w:name="_Toc380666654"/>
      <w:bookmarkStart w:id="2" w:name="_Toc391370315"/>
      <w:bookmarkStart w:id="3" w:name="_Toc445212696"/>
      <w:bookmarkStart w:id="4" w:name="_Toc445384263"/>
      <w:bookmarkStart w:id="5" w:name="_Toc508896695"/>
      <w:r w:rsidRPr="00126592">
        <w:lastRenderedPageBreak/>
        <w:t>Introduction</w:t>
      </w:r>
      <w:bookmarkEnd w:id="1"/>
      <w:bookmarkEnd w:id="2"/>
      <w:bookmarkEnd w:id="3"/>
      <w:bookmarkEnd w:id="4"/>
      <w:bookmarkEnd w:id="5"/>
    </w:p>
    <w:p w14:paraId="5D460567" w14:textId="0DB8BDB6" w:rsidR="005537C0" w:rsidRDefault="0019250F" w:rsidP="00126592">
      <w:pPr>
        <w:pStyle w:val="Heading2"/>
      </w:pPr>
      <w:bookmarkStart w:id="6" w:name="_Toc445212697"/>
      <w:bookmarkStart w:id="7" w:name="_Toc445384264"/>
      <w:bookmarkStart w:id="8" w:name="_Toc508896696"/>
      <w:r>
        <w:t>Purpose and s</w:t>
      </w:r>
      <w:r w:rsidR="00E85C7E" w:rsidRPr="00126592">
        <w:t>cope</w:t>
      </w:r>
      <w:bookmarkEnd w:id="6"/>
      <w:bookmarkEnd w:id="7"/>
      <w:bookmarkEnd w:id="8"/>
    </w:p>
    <w:p w14:paraId="035296FC" w14:textId="666C5692" w:rsidR="003A6076" w:rsidRDefault="003A6076" w:rsidP="003A6076">
      <w:pPr>
        <w:pStyle w:val="ResetPara"/>
      </w:pPr>
    </w:p>
    <w:p w14:paraId="0D7DE45D" w14:textId="168343CC" w:rsidR="003A6076" w:rsidRDefault="003A6076" w:rsidP="0026712A">
      <w:pPr>
        <w:pStyle w:val="TxtFlw0"/>
      </w:pPr>
      <w:r>
        <w:t>This is the proc</w:t>
      </w:r>
      <w:r w:rsidR="002237CF">
        <w:t>edure for the determination of c</w:t>
      </w:r>
      <w:r>
        <w:t>ontribution factors made under clause 3.15.6A(k) of the National Electricity Rules (</w:t>
      </w:r>
      <w:r w:rsidRPr="003A6076">
        <w:rPr>
          <w:b/>
        </w:rPr>
        <w:t>NER</w:t>
      </w:r>
      <w:r>
        <w:t>) (</w:t>
      </w:r>
      <w:r w:rsidRPr="003A6076">
        <w:rPr>
          <w:b/>
        </w:rPr>
        <w:t>Procedure</w:t>
      </w:r>
      <w:r>
        <w:t>).</w:t>
      </w:r>
    </w:p>
    <w:p w14:paraId="31AE7EAE" w14:textId="2E956D03" w:rsidR="003A6076" w:rsidRDefault="003A6076" w:rsidP="0026712A">
      <w:pPr>
        <w:pStyle w:val="TxtFlw0"/>
      </w:pPr>
      <w:r>
        <w:t xml:space="preserve">The </w:t>
      </w:r>
      <w:r w:rsidR="002237CF">
        <w:t>C</w:t>
      </w:r>
      <w:r>
        <w:t xml:space="preserve">ontribution </w:t>
      </w:r>
      <w:r w:rsidR="002237CF">
        <w:t>F</w:t>
      </w:r>
      <w:r>
        <w:t>actors determined under this Procedure represent the values of ‘MPF’ applied in the calculations set out in clause 3.15.6A</w:t>
      </w:r>
      <w:r w:rsidR="009873FC">
        <w:t>(i)</w:t>
      </w:r>
      <w:r>
        <w:t xml:space="preserve"> of the NER, to determine trading amounts for the recovery of amounts determined under clause 3.15.6A(a) for </w:t>
      </w:r>
      <w:r w:rsidRPr="003A6076">
        <w:rPr>
          <w:i/>
        </w:rPr>
        <w:t xml:space="preserve">regulating raise services </w:t>
      </w:r>
      <w:r>
        <w:t xml:space="preserve">and </w:t>
      </w:r>
      <w:r w:rsidRPr="003A6076">
        <w:rPr>
          <w:i/>
        </w:rPr>
        <w:t>regulating lower services</w:t>
      </w:r>
      <w:r>
        <w:t xml:space="preserve"> (</w:t>
      </w:r>
      <w:r w:rsidRPr="003A6076">
        <w:rPr>
          <w:b/>
        </w:rPr>
        <w:t>Regulation FCAS</w:t>
      </w:r>
      <w:r>
        <w:t xml:space="preserve">). </w:t>
      </w:r>
    </w:p>
    <w:p w14:paraId="65421A12" w14:textId="0E3EAA36" w:rsidR="003A6076" w:rsidRPr="003A6076" w:rsidRDefault="003A6076" w:rsidP="0026712A">
      <w:pPr>
        <w:pStyle w:val="TxtFlw0"/>
      </w:pPr>
      <w:r>
        <w:t>This Procedure has effect only for the purposes set out in the NER. The NER and the National Electricity Law prevail over this Procedure to the extent of any inconsistency.</w:t>
      </w:r>
    </w:p>
    <w:p w14:paraId="49DC3C54" w14:textId="77777777" w:rsidR="005537C0" w:rsidRPr="00656456" w:rsidRDefault="00F37294" w:rsidP="00126592">
      <w:pPr>
        <w:pStyle w:val="Heading2"/>
      </w:pPr>
      <w:bookmarkStart w:id="9" w:name="_Toc445212698"/>
      <w:bookmarkStart w:id="10" w:name="_Toc445384265"/>
      <w:bookmarkStart w:id="11" w:name="_Toc508896697"/>
      <w:r>
        <w:t>Definiti</w:t>
      </w:r>
      <w:r w:rsidR="0019250F">
        <w:t>ons and i</w:t>
      </w:r>
      <w:r>
        <w:t>nterpretation</w:t>
      </w:r>
      <w:bookmarkEnd w:id="9"/>
      <w:bookmarkEnd w:id="10"/>
      <w:bookmarkEnd w:id="11"/>
    </w:p>
    <w:p w14:paraId="21033563" w14:textId="77777777" w:rsidR="005537C0" w:rsidRPr="00126592" w:rsidRDefault="00E85C7E" w:rsidP="00126592">
      <w:pPr>
        <w:pStyle w:val="Heading3"/>
      </w:pPr>
      <w:r w:rsidRPr="00126592">
        <w:t>Glossary</w:t>
      </w:r>
    </w:p>
    <w:p w14:paraId="643EA77D" w14:textId="40418B4F" w:rsidR="007B599E" w:rsidRDefault="00C1288E" w:rsidP="00FA5F2B">
      <w:pPr>
        <w:pStyle w:val="TxtFlw0"/>
      </w:pPr>
      <w:r>
        <w:t>Terms defined in the</w:t>
      </w:r>
      <w:r w:rsidR="00295F08">
        <w:t xml:space="preserve"> National</w:t>
      </w:r>
      <w:r>
        <w:t xml:space="preserve"> </w:t>
      </w:r>
      <w:r w:rsidR="00413D01">
        <w:t xml:space="preserve">Electricity </w:t>
      </w:r>
      <w:r w:rsidR="00295F08">
        <w:t>Law</w:t>
      </w:r>
      <w:r>
        <w:t xml:space="preserve"> </w:t>
      </w:r>
      <w:r w:rsidR="00295F08">
        <w:t xml:space="preserve">and </w:t>
      </w:r>
      <w:r>
        <w:t xml:space="preserve">the </w:t>
      </w:r>
      <w:r w:rsidR="00413D01">
        <w:t xml:space="preserve">NER have the same meanings in this Procedure </w:t>
      </w:r>
      <w:r>
        <w:t xml:space="preserve">unless otherwise specified in this clause. </w:t>
      </w:r>
    </w:p>
    <w:p w14:paraId="52AC5E85" w14:textId="5C145A22" w:rsidR="00C1288E" w:rsidRDefault="007B599E" w:rsidP="00FA5F2B">
      <w:pPr>
        <w:pStyle w:val="TxtFlw0"/>
      </w:pPr>
      <w:r>
        <w:t xml:space="preserve">Terms defined in the </w:t>
      </w:r>
      <w:r w:rsidR="00413D01">
        <w:t>NER</w:t>
      </w:r>
      <w:r w:rsidR="00C1288E">
        <w:t xml:space="preserve"> are intended to be identified by italicising them, but failure to italicise a defined term does not affect its meaning.</w:t>
      </w:r>
    </w:p>
    <w:p w14:paraId="13D2BAAC" w14:textId="6A8AFDBF" w:rsidR="00413D01" w:rsidRDefault="00413D01" w:rsidP="00FA5F2B">
      <w:pPr>
        <w:pStyle w:val="TxtFlw0"/>
      </w:pPr>
      <w:r>
        <w:t xml:space="preserve">The words, phrases and abbreviations in the table below have the meanings set out opposite them when used in this Procedure. </w:t>
      </w:r>
    </w:p>
    <w:tbl>
      <w:tblPr>
        <w:tblStyle w:val="AEMOTable"/>
        <w:tblW w:w="0" w:type="auto"/>
        <w:shd w:val="pct5" w:color="auto" w:fill="auto"/>
        <w:tblLayout w:type="fixed"/>
        <w:tblLook w:val="04A0" w:firstRow="1" w:lastRow="0" w:firstColumn="1" w:lastColumn="0" w:noHBand="0" w:noVBand="1"/>
      </w:tblPr>
      <w:tblGrid>
        <w:gridCol w:w="2280"/>
        <w:gridCol w:w="6894"/>
      </w:tblGrid>
      <w:tr w:rsidR="00D938D7" w:rsidRPr="00D938D7" w14:paraId="6E04D69A" w14:textId="77777777" w:rsidTr="00805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bottom w:val="single" w:sz="8" w:space="0" w:color="FFFFFF" w:themeColor="background1"/>
            </w:tcBorders>
            <w:shd w:val="pct5" w:color="auto" w:fill="auto"/>
          </w:tcPr>
          <w:p w14:paraId="7A58E222" w14:textId="77777777" w:rsidR="00DD59E4" w:rsidRPr="00D938D7" w:rsidRDefault="00DD59E4" w:rsidP="00C43A06">
            <w:pPr>
              <w:pStyle w:val="TableTitle"/>
              <w:rPr>
                <w:color w:val="auto"/>
              </w:rPr>
            </w:pPr>
            <w:r w:rsidRPr="00D938D7">
              <w:rPr>
                <w:color w:val="auto"/>
              </w:rPr>
              <w:t>Term</w:t>
            </w:r>
          </w:p>
        </w:tc>
        <w:tc>
          <w:tcPr>
            <w:tcW w:w="6894" w:type="dxa"/>
            <w:tcBorders>
              <w:bottom w:val="single" w:sz="8" w:space="0" w:color="FFFFFF" w:themeColor="background1"/>
            </w:tcBorders>
            <w:shd w:val="pct5" w:color="auto" w:fill="auto"/>
          </w:tcPr>
          <w:p w14:paraId="3EE839F9" w14:textId="77777777" w:rsidR="00DD59E4" w:rsidRPr="00D938D7" w:rsidRDefault="00DD59E4" w:rsidP="00C43A06">
            <w:pPr>
              <w:pStyle w:val="TableTitle"/>
              <w:cnfStyle w:val="100000000000" w:firstRow="1" w:lastRow="0" w:firstColumn="0" w:lastColumn="0" w:oddVBand="0" w:evenVBand="0" w:oddHBand="0" w:evenHBand="0" w:firstRowFirstColumn="0" w:firstRowLastColumn="0" w:lastRowFirstColumn="0" w:lastRowLastColumn="0"/>
              <w:rPr>
                <w:color w:val="auto"/>
              </w:rPr>
            </w:pPr>
            <w:r w:rsidRPr="00D938D7">
              <w:rPr>
                <w:color w:val="auto"/>
              </w:rPr>
              <w:t>Definition</w:t>
            </w:r>
          </w:p>
        </w:tc>
      </w:tr>
      <w:tr w:rsidR="00D938D7" w:rsidRPr="00D938D7" w14:paraId="67CE604E"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4AA9C748"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4-second performance measure</w:t>
            </w:r>
          </w:p>
        </w:tc>
        <w:tc>
          <w:tcPr>
            <w:tcW w:w="6894" w:type="dxa"/>
            <w:tcBorders>
              <w:top w:val="single" w:sz="8" w:space="0" w:color="FFFFFF" w:themeColor="background1"/>
              <w:bottom w:val="single" w:sz="8" w:space="0" w:color="FFFFFF" w:themeColor="background1"/>
            </w:tcBorders>
            <w:shd w:val="pct5" w:color="auto" w:fill="auto"/>
          </w:tcPr>
          <w:p w14:paraId="6E4F0060"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A factor determined for a 4-second interval</w:t>
            </w:r>
          </w:p>
        </w:tc>
      </w:tr>
      <w:tr w:rsidR="00D938D7" w:rsidRPr="00D938D7" w14:paraId="169E076C"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73516CDF"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5-minute factor</w:t>
            </w:r>
          </w:p>
        </w:tc>
        <w:tc>
          <w:tcPr>
            <w:tcW w:w="6894" w:type="dxa"/>
            <w:tcBorders>
              <w:top w:val="single" w:sz="8" w:space="0" w:color="FFFFFF" w:themeColor="background1"/>
              <w:bottom w:val="single" w:sz="8" w:space="0" w:color="FFFFFF" w:themeColor="background1"/>
            </w:tcBorders>
            <w:shd w:val="pct5" w:color="auto" w:fill="auto"/>
          </w:tcPr>
          <w:p w14:paraId="15CA8D5E" w14:textId="444B19C1" w:rsidR="00DD59E4" w:rsidRPr="00D938D7" w:rsidRDefault="00FC2CE0" w:rsidP="00FC2CE0">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Intermediate aggregation of 4-second performance measures into different ca</w:t>
            </w:r>
            <w:r w:rsidR="001E7B42">
              <w:rPr>
                <w:rFonts w:ascii="Arial" w:hAnsi="Arial" w:cs="Arial"/>
              </w:rPr>
              <w:t>tegories, as outlined in clause</w:t>
            </w:r>
            <w:r>
              <w:rPr>
                <w:rFonts w:ascii="Arial" w:hAnsi="Arial" w:cs="Arial"/>
              </w:rPr>
              <w:t xml:space="preserve"> </w:t>
            </w:r>
            <w:r>
              <w:rPr>
                <w:rFonts w:ascii="Arial" w:hAnsi="Arial" w:cs="Arial"/>
              </w:rPr>
              <w:fldChar w:fldCharType="begin"/>
            </w:r>
            <w:r>
              <w:rPr>
                <w:rFonts w:ascii="Arial" w:hAnsi="Arial" w:cs="Arial"/>
              </w:rPr>
              <w:instrText xml:space="preserve"> REF _Ref508955127 \r \h </w:instrText>
            </w:r>
            <w:r>
              <w:rPr>
                <w:rFonts w:ascii="Arial" w:hAnsi="Arial" w:cs="Arial"/>
              </w:rPr>
            </w:r>
            <w:r>
              <w:rPr>
                <w:rFonts w:ascii="Arial" w:hAnsi="Arial" w:cs="Arial"/>
              </w:rPr>
              <w:fldChar w:fldCharType="separate"/>
            </w:r>
            <w:r w:rsidR="003E2BF7">
              <w:rPr>
                <w:rFonts w:ascii="Arial" w:hAnsi="Arial" w:cs="Arial"/>
              </w:rPr>
              <w:t>6.1</w:t>
            </w:r>
            <w:r>
              <w:rPr>
                <w:rFonts w:ascii="Arial" w:hAnsi="Arial" w:cs="Arial"/>
              </w:rPr>
              <w:fldChar w:fldCharType="end"/>
            </w:r>
          </w:p>
        </w:tc>
      </w:tr>
      <w:tr w:rsidR="00D938D7" w:rsidRPr="00D938D7" w14:paraId="65B353E7"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7698AAEF"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ACE</w:t>
            </w:r>
          </w:p>
        </w:tc>
        <w:tc>
          <w:tcPr>
            <w:tcW w:w="6894" w:type="dxa"/>
            <w:tcBorders>
              <w:top w:val="single" w:sz="8" w:space="0" w:color="FFFFFF" w:themeColor="background1"/>
              <w:bottom w:val="single" w:sz="8" w:space="0" w:color="FFFFFF" w:themeColor="background1"/>
            </w:tcBorders>
            <w:shd w:val="pct5" w:color="auto" w:fill="auto"/>
          </w:tcPr>
          <w:p w14:paraId="59E29D24"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Area control error</w:t>
            </w:r>
          </w:p>
        </w:tc>
      </w:tr>
      <w:tr w:rsidR="00D938D7" w:rsidRPr="00D938D7" w14:paraId="3D405BA2"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2BA6BF5A"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ADE</w:t>
            </w:r>
          </w:p>
        </w:tc>
        <w:tc>
          <w:tcPr>
            <w:tcW w:w="6894" w:type="dxa"/>
            <w:tcBorders>
              <w:top w:val="single" w:sz="8" w:space="0" w:color="FFFFFF" w:themeColor="background1"/>
              <w:bottom w:val="single" w:sz="8" w:space="0" w:color="FFFFFF" w:themeColor="background1"/>
            </w:tcBorders>
            <w:shd w:val="pct5" w:color="auto" w:fill="auto"/>
          </w:tcPr>
          <w:p w14:paraId="3707B1E4"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rPr>
              <w:t>Aggregate dispatch error</w:t>
            </w:r>
          </w:p>
        </w:tc>
      </w:tr>
      <w:tr w:rsidR="00D938D7" w:rsidRPr="00D938D7" w14:paraId="52D316E8"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69082D97" w14:textId="77777777" w:rsidR="00DD59E4" w:rsidRPr="00C62466" w:rsidRDefault="00DD59E4" w:rsidP="00C43A06">
            <w:pPr>
              <w:pStyle w:val="TableText"/>
              <w:rPr>
                <w:b w:val="0"/>
                <w:color w:val="auto"/>
              </w:rPr>
            </w:pPr>
            <w:r w:rsidRPr="00C62466">
              <w:rPr>
                <w:b w:val="0"/>
                <w:color w:val="auto"/>
              </w:rPr>
              <w:t>ADF</w:t>
            </w:r>
          </w:p>
        </w:tc>
        <w:tc>
          <w:tcPr>
            <w:tcW w:w="6894" w:type="dxa"/>
            <w:tcBorders>
              <w:top w:val="single" w:sz="8" w:space="0" w:color="FFFFFF" w:themeColor="background1"/>
              <w:bottom w:val="single" w:sz="8" w:space="0" w:color="FFFFFF" w:themeColor="background1"/>
            </w:tcBorders>
            <w:shd w:val="pct5" w:color="auto" w:fill="auto"/>
          </w:tcPr>
          <w:p w14:paraId="79C9EE97"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Area deviation factor</w:t>
            </w:r>
          </w:p>
        </w:tc>
      </w:tr>
      <w:tr w:rsidR="00D938D7" w:rsidRPr="00D938D7" w14:paraId="74397B34"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3037FCAE" w14:textId="5C38669C" w:rsidR="00ED17E3" w:rsidRPr="00D938D7" w:rsidRDefault="00ED17E3" w:rsidP="00C43A06">
            <w:pPr>
              <w:pStyle w:val="TableText"/>
              <w:rPr>
                <w:rFonts w:ascii="Arial" w:hAnsi="Arial" w:cs="Arial"/>
                <w:b w:val="0"/>
                <w:color w:val="auto"/>
              </w:rPr>
            </w:pPr>
            <w:r w:rsidRPr="00D938D7">
              <w:rPr>
                <w:rFonts w:ascii="Arial" w:hAnsi="Arial" w:cs="Arial"/>
                <w:b w:val="0"/>
                <w:color w:val="auto"/>
              </w:rPr>
              <w:t>ADRF</w:t>
            </w:r>
          </w:p>
        </w:tc>
        <w:tc>
          <w:tcPr>
            <w:tcW w:w="6894" w:type="dxa"/>
            <w:tcBorders>
              <w:top w:val="single" w:sz="8" w:space="0" w:color="FFFFFF" w:themeColor="background1"/>
              <w:bottom w:val="single" w:sz="8" w:space="0" w:color="FFFFFF" w:themeColor="background1"/>
            </w:tcBorders>
            <w:shd w:val="pct5" w:color="auto" w:fill="auto"/>
          </w:tcPr>
          <w:p w14:paraId="6EE57800" w14:textId="6EA76C00" w:rsidR="00ED17E3" w:rsidRPr="00D938D7" w:rsidRDefault="00ED17E3"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t>Area deviation residual factor</w:t>
            </w:r>
          </w:p>
        </w:tc>
      </w:tr>
      <w:tr w:rsidR="00D938D7" w:rsidRPr="00D938D7" w14:paraId="7B5B3060"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0722AC75"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AEMO</w:t>
            </w:r>
          </w:p>
        </w:tc>
        <w:tc>
          <w:tcPr>
            <w:tcW w:w="6894" w:type="dxa"/>
            <w:tcBorders>
              <w:top w:val="single" w:sz="8" w:space="0" w:color="FFFFFF" w:themeColor="background1"/>
              <w:bottom w:val="single" w:sz="8" w:space="0" w:color="FFFFFF" w:themeColor="background1"/>
            </w:tcBorders>
            <w:shd w:val="pct5" w:color="auto" w:fill="auto"/>
          </w:tcPr>
          <w:p w14:paraId="583EC6BD"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Australian Energy Market Operator Limited</w:t>
            </w:r>
          </w:p>
        </w:tc>
      </w:tr>
      <w:tr w:rsidR="00D938D7" w:rsidRPr="00D938D7" w14:paraId="0639FB21"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745BCC68"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AFF</w:t>
            </w:r>
          </w:p>
        </w:tc>
        <w:tc>
          <w:tcPr>
            <w:tcW w:w="6894" w:type="dxa"/>
            <w:tcBorders>
              <w:top w:val="single" w:sz="8" w:space="0" w:color="FFFFFF" w:themeColor="background1"/>
              <w:bottom w:val="single" w:sz="8" w:space="0" w:color="FFFFFF" w:themeColor="background1"/>
            </w:tcBorders>
            <w:shd w:val="pct5" w:color="auto" w:fill="auto"/>
          </w:tcPr>
          <w:p w14:paraId="00BDA39A"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rPr>
              <w:t>Area forecast error factor</w:t>
            </w:r>
          </w:p>
        </w:tc>
      </w:tr>
      <w:tr w:rsidR="00C62466" w:rsidRPr="00D938D7" w14:paraId="1C036EEE"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6632CEC0" w14:textId="6D77F33A" w:rsidR="00C62466" w:rsidRPr="00C62466" w:rsidRDefault="00C62466" w:rsidP="00C43A06">
            <w:pPr>
              <w:pStyle w:val="TableText"/>
              <w:rPr>
                <w:b w:val="0"/>
                <w:color w:val="auto"/>
                <w:highlight w:val="yellow"/>
              </w:rPr>
            </w:pPr>
            <w:r w:rsidRPr="00C62466">
              <w:rPr>
                <w:b w:val="0"/>
                <w:color w:val="auto"/>
              </w:rPr>
              <w:t>AFMNS</w:t>
            </w:r>
          </w:p>
        </w:tc>
        <w:tc>
          <w:tcPr>
            <w:tcW w:w="6894" w:type="dxa"/>
            <w:tcBorders>
              <w:top w:val="single" w:sz="8" w:space="0" w:color="FFFFFF" w:themeColor="background1"/>
              <w:bottom w:val="single" w:sz="8" w:space="0" w:color="FFFFFF" w:themeColor="background1"/>
            </w:tcBorders>
            <w:shd w:val="pct5" w:color="auto" w:fill="auto"/>
          </w:tcPr>
          <w:p w14:paraId="46328ACB" w14:textId="0FB5338F" w:rsidR="00C62466" w:rsidRPr="00C62466" w:rsidRDefault="00C62466" w:rsidP="00C43A06">
            <w:pPr>
              <w:pStyle w:val="TableText"/>
              <w:cnfStyle w:val="000000100000" w:firstRow="0" w:lastRow="0" w:firstColumn="0" w:lastColumn="0" w:oddVBand="0" w:evenVBand="0" w:oddHBand="1" w:evenHBand="0" w:firstRowFirstColumn="0" w:firstRowLastColumn="0" w:lastRowFirstColumn="0" w:lastRowLastColumn="0"/>
            </w:pPr>
            <w:r>
              <w:t xml:space="preserve">The component of AFF allocated to appropriately metered </w:t>
            </w:r>
            <w:r>
              <w:rPr>
                <w:i/>
              </w:rPr>
              <w:t xml:space="preserve">market </w:t>
            </w:r>
            <w:r w:rsidRPr="008E4E21">
              <w:rPr>
                <w:i/>
              </w:rPr>
              <w:t xml:space="preserve">non-scheduled </w:t>
            </w:r>
            <w:r>
              <w:rPr>
                <w:i/>
              </w:rPr>
              <w:t xml:space="preserve">generation </w:t>
            </w:r>
            <w:r>
              <w:t xml:space="preserve">and </w:t>
            </w:r>
            <w:r>
              <w:rPr>
                <w:i/>
              </w:rPr>
              <w:t>load</w:t>
            </w:r>
            <w:r>
              <w:t>.</w:t>
            </w:r>
          </w:p>
        </w:tc>
      </w:tr>
      <w:tr w:rsidR="00D938D7" w:rsidRPr="00D938D7" w14:paraId="77B2D90A"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7963CC98" w14:textId="77777777" w:rsidR="00DD59E4" w:rsidRPr="00D938D7" w:rsidRDefault="00DD59E4" w:rsidP="00C43A06">
            <w:pPr>
              <w:pStyle w:val="TableText"/>
              <w:rPr>
                <w:b w:val="0"/>
                <w:color w:val="auto"/>
                <w:highlight w:val="yellow"/>
              </w:rPr>
            </w:pPr>
            <w:r w:rsidRPr="00C62466">
              <w:rPr>
                <w:b w:val="0"/>
                <w:color w:val="auto"/>
              </w:rPr>
              <w:t>AFRF</w:t>
            </w:r>
          </w:p>
        </w:tc>
        <w:tc>
          <w:tcPr>
            <w:tcW w:w="6894" w:type="dxa"/>
            <w:tcBorders>
              <w:top w:val="single" w:sz="8" w:space="0" w:color="FFFFFF" w:themeColor="background1"/>
              <w:bottom w:val="single" w:sz="8" w:space="0" w:color="FFFFFF" w:themeColor="background1"/>
            </w:tcBorders>
            <w:shd w:val="pct5" w:color="auto" w:fill="auto"/>
          </w:tcPr>
          <w:p w14:paraId="04ACE3FB" w14:textId="5D79C53D" w:rsidR="00DD59E4" w:rsidRPr="00D938D7" w:rsidRDefault="009873FC" w:rsidP="00C43A06">
            <w:pPr>
              <w:pStyle w:val="TableText"/>
              <w:cnfStyle w:val="000000010000" w:firstRow="0" w:lastRow="0" w:firstColumn="0" w:lastColumn="0" w:oddVBand="0" w:evenVBand="0" w:oddHBand="0" w:evenHBand="1" w:firstRowFirstColumn="0" w:firstRowLastColumn="0" w:lastRowFirstColumn="0" w:lastRowLastColumn="0"/>
            </w:pPr>
            <w:r w:rsidRPr="00D938D7">
              <w:t>A</w:t>
            </w:r>
            <w:r w:rsidR="00DD59E4" w:rsidRPr="00D938D7">
              <w:t>rea forecast error residual factor</w:t>
            </w:r>
            <w:r w:rsidRPr="00D938D7">
              <w:t>. This</w:t>
            </w:r>
            <w:r w:rsidR="00DD59E4" w:rsidRPr="00D938D7">
              <w:t xml:space="preserve"> is associated with the deviation of the least squares line of best fit of non-scheduled </w:t>
            </w:r>
            <w:r w:rsidR="00DD59E4" w:rsidRPr="00D938D7">
              <w:rPr>
                <w:i/>
              </w:rPr>
              <w:t>power system</w:t>
            </w:r>
            <w:r w:rsidR="00DD59E4" w:rsidRPr="00D938D7">
              <w:t xml:space="preserve"> demand for a DI with the forecast demand for that DI.</w:t>
            </w:r>
          </w:p>
        </w:tc>
      </w:tr>
      <w:tr w:rsidR="00D938D7" w:rsidRPr="00D938D7" w14:paraId="522098AF"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233D5211"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AGC</w:t>
            </w:r>
          </w:p>
        </w:tc>
        <w:tc>
          <w:tcPr>
            <w:tcW w:w="6894" w:type="dxa"/>
            <w:tcBorders>
              <w:top w:val="single" w:sz="8" w:space="0" w:color="FFFFFF" w:themeColor="background1"/>
              <w:bottom w:val="single" w:sz="8" w:space="0" w:color="FFFFFF" w:themeColor="background1"/>
            </w:tcBorders>
            <w:shd w:val="pct5" w:color="auto" w:fill="auto"/>
          </w:tcPr>
          <w:p w14:paraId="02820C5A"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i/>
              </w:rPr>
            </w:pPr>
            <w:r w:rsidRPr="00D938D7">
              <w:rPr>
                <w:rFonts w:ascii="Arial" w:hAnsi="Arial" w:cs="Arial"/>
                <w:i/>
              </w:rPr>
              <w:t>Automatic generation control system</w:t>
            </w:r>
          </w:p>
        </w:tc>
      </w:tr>
      <w:tr w:rsidR="00F717A4" w:rsidRPr="00D938D7" w14:paraId="668DE661" w14:textId="77777777" w:rsidTr="008B7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C7F7CA3" w14:textId="77777777" w:rsidR="00F717A4" w:rsidRPr="00D938D7" w:rsidRDefault="00F717A4" w:rsidP="008B7804">
            <w:pPr>
              <w:pStyle w:val="TableText"/>
              <w:rPr>
                <w:b w:val="0"/>
                <w:color w:val="auto"/>
              </w:rPr>
            </w:pPr>
            <w:r w:rsidRPr="00D938D7">
              <w:rPr>
                <w:b w:val="0"/>
                <w:color w:val="auto"/>
              </w:rPr>
              <w:t>A</w:t>
            </w:r>
            <w:r>
              <w:rPr>
                <w:b w:val="0"/>
                <w:color w:val="auto"/>
              </w:rPr>
              <w:t>MNSF</w:t>
            </w:r>
          </w:p>
        </w:tc>
        <w:tc>
          <w:tcPr>
            <w:tcW w:w="6894" w:type="dxa"/>
            <w:shd w:val="pct5" w:color="auto" w:fill="auto"/>
          </w:tcPr>
          <w:p w14:paraId="41DD6C3B" w14:textId="4D5010DB" w:rsidR="00F717A4" w:rsidRPr="00D938D7" w:rsidRDefault="00011A44" w:rsidP="008B7804">
            <w:pPr>
              <w:pStyle w:val="TableText"/>
              <w:cnfStyle w:val="000000010000" w:firstRow="0" w:lastRow="0" w:firstColumn="0" w:lastColumn="0" w:oddVBand="0" w:evenVBand="0" w:oddHBand="0" w:evenHBand="1" w:firstRowFirstColumn="0" w:firstRowLastColumn="0" w:lastRowFirstColumn="0" w:lastRowLastColumn="0"/>
            </w:pPr>
            <w:r>
              <w:t>Aggregate performance factor</w:t>
            </w:r>
            <w:r w:rsidR="00F717A4">
              <w:t xml:space="preserve"> for appropriately </w:t>
            </w:r>
            <w:r w:rsidR="00F717A4" w:rsidRPr="00D938D7">
              <w:t xml:space="preserve">metered </w:t>
            </w:r>
            <w:r w:rsidR="00C62466">
              <w:rPr>
                <w:i/>
              </w:rPr>
              <w:t xml:space="preserve">market </w:t>
            </w:r>
            <w:r w:rsidR="00F717A4" w:rsidRPr="00D938D7">
              <w:rPr>
                <w:i/>
              </w:rPr>
              <w:t>non-scheduled</w:t>
            </w:r>
            <w:r w:rsidR="00F717A4" w:rsidRPr="00D938D7">
              <w:t xml:space="preserve"> </w:t>
            </w:r>
            <w:r w:rsidR="00F717A4" w:rsidRPr="00D938D7">
              <w:rPr>
                <w:i/>
              </w:rPr>
              <w:t>generating unit</w:t>
            </w:r>
            <w:r w:rsidR="00F717A4">
              <w:rPr>
                <w:i/>
              </w:rPr>
              <w:t>s</w:t>
            </w:r>
            <w:r w:rsidR="00F717A4" w:rsidRPr="00D938D7">
              <w:t xml:space="preserve"> and </w:t>
            </w:r>
            <w:r w:rsidR="00F717A4" w:rsidRPr="00D938D7">
              <w:rPr>
                <w:i/>
              </w:rPr>
              <w:t>load</w:t>
            </w:r>
            <w:r w:rsidR="00F717A4">
              <w:rPr>
                <w:i/>
              </w:rPr>
              <w:t>s</w:t>
            </w:r>
            <w:r w:rsidR="00F717A4" w:rsidRPr="00D938D7">
              <w:t xml:space="preserve"> </w:t>
            </w:r>
            <w:r w:rsidR="00F717A4">
              <w:t>in a given area</w:t>
            </w:r>
            <w:r w:rsidR="00C62466">
              <w:t>, including its contribution to AFF</w:t>
            </w:r>
            <w:r w:rsidR="00F717A4">
              <w:t xml:space="preserve">. </w:t>
            </w:r>
          </w:p>
        </w:tc>
      </w:tr>
      <w:tr w:rsidR="00F717A4" w:rsidRPr="00D938D7" w14:paraId="6196BB63" w14:textId="77777777" w:rsidTr="008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CCBF3FF" w14:textId="77777777" w:rsidR="00F717A4" w:rsidRPr="00D938D7" w:rsidRDefault="00F717A4" w:rsidP="008B7804">
            <w:pPr>
              <w:pStyle w:val="TableText"/>
              <w:rPr>
                <w:b w:val="0"/>
                <w:color w:val="auto"/>
              </w:rPr>
            </w:pPr>
            <w:r w:rsidRPr="00D938D7">
              <w:rPr>
                <w:b w:val="0"/>
                <w:color w:val="auto"/>
              </w:rPr>
              <w:t>AMNSTOT</w:t>
            </w:r>
          </w:p>
        </w:tc>
        <w:tc>
          <w:tcPr>
            <w:tcW w:w="6894" w:type="dxa"/>
            <w:shd w:val="pct5" w:color="auto" w:fill="auto"/>
          </w:tcPr>
          <w:p w14:paraId="675C78E4" w14:textId="2F5271DE" w:rsidR="00F717A4" w:rsidRPr="00D938D7" w:rsidRDefault="00F717A4" w:rsidP="008B7804">
            <w:pPr>
              <w:pStyle w:val="TableText"/>
              <w:cnfStyle w:val="000000100000" w:firstRow="0" w:lastRow="0" w:firstColumn="0" w:lastColumn="0" w:oddVBand="0" w:evenVBand="0" w:oddHBand="1" w:evenHBand="0" w:firstRowFirstColumn="0" w:firstRowLastColumn="0" w:lastRowFirstColumn="0" w:lastRowLastColumn="0"/>
            </w:pPr>
            <w:r>
              <w:t xml:space="preserve">Total of the performance factors for appropriately </w:t>
            </w:r>
            <w:r w:rsidRPr="00D938D7">
              <w:t xml:space="preserve">metered </w:t>
            </w:r>
            <w:r>
              <w:rPr>
                <w:i/>
              </w:rPr>
              <w:t xml:space="preserve">market </w:t>
            </w:r>
            <w:r w:rsidRPr="00D938D7">
              <w:rPr>
                <w:i/>
              </w:rPr>
              <w:t>non-scheduled</w:t>
            </w:r>
            <w:r w:rsidRPr="00D938D7">
              <w:t xml:space="preserve"> </w:t>
            </w:r>
            <w:r w:rsidRPr="00D938D7">
              <w:rPr>
                <w:i/>
              </w:rPr>
              <w:t>generating unit</w:t>
            </w:r>
            <w:r>
              <w:rPr>
                <w:i/>
              </w:rPr>
              <w:t>s</w:t>
            </w:r>
            <w:r w:rsidRPr="00D938D7">
              <w:t xml:space="preserve"> and </w:t>
            </w:r>
            <w:r w:rsidRPr="00D938D7">
              <w:rPr>
                <w:i/>
              </w:rPr>
              <w:t>load</w:t>
            </w:r>
            <w:r>
              <w:rPr>
                <w:i/>
              </w:rPr>
              <w:t>s</w:t>
            </w:r>
            <w:r w:rsidRPr="00D938D7">
              <w:t xml:space="preserve"> </w:t>
            </w:r>
            <w:r>
              <w:t>in a given area</w:t>
            </w:r>
            <w:r w:rsidR="00011A44">
              <w:t xml:space="preserve"> (before adjustment for AFF and ADF)</w:t>
            </w:r>
            <w:r>
              <w:t xml:space="preserve">. </w:t>
            </w:r>
          </w:p>
        </w:tc>
      </w:tr>
      <w:tr w:rsidR="00F717A4" w:rsidRPr="00D938D7" w14:paraId="59FB2F32" w14:textId="77777777" w:rsidTr="008B7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664E34B" w14:textId="77777777" w:rsidR="00F717A4" w:rsidRPr="00D938D7" w:rsidRDefault="00F717A4" w:rsidP="008B7804">
            <w:pPr>
              <w:pStyle w:val="TableText"/>
              <w:rPr>
                <w:b w:val="0"/>
                <w:color w:val="auto"/>
              </w:rPr>
            </w:pPr>
            <w:r w:rsidRPr="00D938D7">
              <w:rPr>
                <w:b w:val="0"/>
                <w:color w:val="auto"/>
              </w:rPr>
              <w:t>AMSF</w:t>
            </w:r>
          </w:p>
        </w:tc>
        <w:tc>
          <w:tcPr>
            <w:tcW w:w="6894" w:type="dxa"/>
            <w:shd w:val="pct5" w:color="auto" w:fill="auto"/>
          </w:tcPr>
          <w:p w14:paraId="1770B5CD" w14:textId="792DA56A" w:rsidR="00F717A4" w:rsidRPr="00D938D7" w:rsidRDefault="00F717A4" w:rsidP="008B7804">
            <w:pPr>
              <w:pStyle w:val="TableText"/>
              <w:cnfStyle w:val="000000010000" w:firstRow="0" w:lastRow="0" w:firstColumn="0" w:lastColumn="0" w:oddVBand="0" w:evenVBand="0" w:oddHBand="0" w:evenHBand="1" w:firstRowFirstColumn="0" w:firstRowLastColumn="0" w:lastRowFirstColumn="0" w:lastRowLastColumn="0"/>
            </w:pPr>
            <w:r w:rsidRPr="00D938D7">
              <w:t xml:space="preserve">Metered and </w:t>
            </w:r>
            <w:r w:rsidRPr="00D938D7">
              <w:rPr>
                <w:i/>
              </w:rPr>
              <w:t>scheduled</w:t>
            </w:r>
            <w:r w:rsidRPr="00D938D7">
              <w:t xml:space="preserve"> </w:t>
            </w:r>
            <w:r w:rsidRPr="00D938D7">
              <w:rPr>
                <w:i/>
              </w:rPr>
              <w:t>generating unit</w:t>
            </w:r>
            <w:r w:rsidRPr="00D938D7">
              <w:t xml:space="preserve"> and </w:t>
            </w:r>
            <w:r w:rsidRPr="00D938D7">
              <w:rPr>
                <w:i/>
              </w:rPr>
              <w:t>scheduled load</w:t>
            </w:r>
            <w:r w:rsidRPr="00D938D7">
              <w:t xml:space="preserve"> factor</w:t>
            </w:r>
            <w:r w:rsidR="000B5221">
              <w:t>.</w:t>
            </w:r>
          </w:p>
        </w:tc>
      </w:tr>
      <w:tr w:rsidR="00D938D7" w:rsidRPr="00D938D7" w14:paraId="432C189E"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1229EDAE"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Appropriate metering</w:t>
            </w:r>
          </w:p>
        </w:tc>
        <w:tc>
          <w:tcPr>
            <w:tcW w:w="6894" w:type="dxa"/>
            <w:tcBorders>
              <w:top w:val="single" w:sz="8" w:space="0" w:color="FFFFFF" w:themeColor="background1"/>
              <w:bottom w:val="single" w:sz="8" w:space="0" w:color="FFFFFF" w:themeColor="background1"/>
            </w:tcBorders>
            <w:shd w:val="pct5" w:color="auto" w:fill="auto"/>
          </w:tcPr>
          <w:p w14:paraId="6D8FDD5D" w14:textId="6C3E341B"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i/>
              </w:rPr>
              <w:t xml:space="preserve">Metering </w:t>
            </w:r>
            <w:r w:rsidRPr="00D938D7">
              <w:rPr>
                <w:rFonts w:ascii="Arial" w:hAnsi="Arial" w:cs="Arial"/>
              </w:rPr>
              <w:t xml:space="preserve">with the capability to record the </w:t>
            </w:r>
            <w:r w:rsidRPr="00D938D7">
              <w:rPr>
                <w:rFonts w:ascii="Arial" w:hAnsi="Arial" w:cs="Arial"/>
                <w:i/>
              </w:rPr>
              <w:t xml:space="preserve">active power </w:t>
            </w:r>
            <w:r w:rsidRPr="00D938D7">
              <w:rPr>
                <w:rFonts w:ascii="Arial" w:hAnsi="Arial" w:cs="Arial"/>
              </w:rPr>
              <w:t xml:space="preserve">output or consumption of </w:t>
            </w:r>
            <w:r w:rsidRPr="00D938D7">
              <w:rPr>
                <w:rFonts w:ascii="Arial" w:hAnsi="Arial" w:cs="Arial"/>
                <w:i/>
              </w:rPr>
              <w:t>plant</w:t>
            </w:r>
            <w:r w:rsidRPr="00D938D7">
              <w:rPr>
                <w:rFonts w:ascii="Arial" w:hAnsi="Arial" w:cs="Arial"/>
              </w:rPr>
              <w:t xml:space="preserve"> at intervals of not more than 4 seconds</w:t>
            </w:r>
            <w:r w:rsidR="00E12ADF" w:rsidRPr="00D938D7">
              <w:rPr>
                <w:rFonts w:ascii="Arial" w:hAnsi="Arial" w:cs="Arial"/>
              </w:rPr>
              <w:t xml:space="preserve"> in the Mainland area, and not more than 8 seconds in Tasmania</w:t>
            </w:r>
            <w:r w:rsidRPr="00D938D7">
              <w:rPr>
                <w:rFonts w:ascii="Arial" w:hAnsi="Arial" w:cs="Arial"/>
              </w:rPr>
              <w:t xml:space="preserve">. </w:t>
            </w:r>
          </w:p>
        </w:tc>
      </w:tr>
      <w:tr w:rsidR="00D938D7" w:rsidRPr="00D938D7" w14:paraId="05465302"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468E2C85" w14:textId="75EB1BBC" w:rsidR="00520D19" w:rsidRPr="00D938D7" w:rsidRDefault="00520D19" w:rsidP="00C43A06">
            <w:pPr>
              <w:pStyle w:val="TableText"/>
              <w:rPr>
                <w:rFonts w:ascii="Arial" w:hAnsi="Arial" w:cs="Arial"/>
                <w:b w:val="0"/>
                <w:color w:val="auto"/>
              </w:rPr>
            </w:pPr>
            <w:r w:rsidRPr="00D938D7">
              <w:rPr>
                <w:rFonts w:ascii="Arial" w:hAnsi="Arial" w:cs="Arial"/>
                <w:b w:val="0"/>
                <w:color w:val="auto"/>
              </w:rPr>
              <w:t>Area</w:t>
            </w:r>
          </w:p>
        </w:tc>
        <w:tc>
          <w:tcPr>
            <w:tcW w:w="6894" w:type="dxa"/>
            <w:tcBorders>
              <w:top w:val="single" w:sz="8" w:space="0" w:color="FFFFFF" w:themeColor="background1"/>
              <w:bottom w:val="single" w:sz="8" w:space="0" w:color="FFFFFF" w:themeColor="background1"/>
            </w:tcBorders>
            <w:shd w:val="pct5" w:color="auto" w:fill="auto"/>
          </w:tcPr>
          <w:p w14:paraId="574ECE1F" w14:textId="6FACB70A" w:rsidR="00520D19" w:rsidRPr="00D938D7" w:rsidRDefault="00E12ADF" w:rsidP="00520D19">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rPr>
              <w:t xml:space="preserve">An </w:t>
            </w:r>
            <w:r w:rsidR="00520D19" w:rsidRPr="00D938D7">
              <w:rPr>
                <w:rFonts w:ascii="Arial" w:hAnsi="Arial" w:cs="Arial"/>
              </w:rPr>
              <w:t xml:space="preserve">area </w:t>
            </w:r>
            <w:r w:rsidR="00EA78B3" w:rsidRPr="00D938D7">
              <w:rPr>
                <w:rFonts w:ascii="Arial" w:hAnsi="Arial" w:cs="Arial"/>
              </w:rPr>
              <w:t xml:space="preserve">of </w:t>
            </w:r>
            <w:r w:rsidR="00520D19" w:rsidRPr="00D938D7">
              <w:rPr>
                <w:rFonts w:ascii="Arial" w:hAnsi="Arial" w:cs="Arial"/>
              </w:rPr>
              <w:t>AGC continuously mod</w:t>
            </w:r>
            <w:r w:rsidRPr="00D938D7">
              <w:rPr>
                <w:rFonts w:ascii="Arial" w:hAnsi="Arial" w:cs="Arial"/>
              </w:rPr>
              <w:t>el</w:t>
            </w:r>
            <w:r w:rsidR="00520D19" w:rsidRPr="00D938D7">
              <w:rPr>
                <w:rFonts w:ascii="Arial" w:hAnsi="Arial" w:cs="Arial"/>
              </w:rPr>
              <w:t xml:space="preserve">led as </w:t>
            </w:r>
            <w:r w:rsidRPr="00D938D7">
              <w:rPr>
                <w:rFonts w:ascii="Arial" w:hAnsi="Arial" w:cs="Arial"/>
              </w:rPr>
              <w:t xml:space="preserve">a </w:t>
            </w:r>
            <w:r w:rsidR="00520D19" w:rsidRPr="00D938D7">
              <w:rPr>
                <w:rFonts w:ascii="Arial" w:hAnsi="Arial" w:cs="Arial"/>
              </w:rPr>
              <w:t>s</w:t>
            </w:r>
            <w:r w:rsidRPr="00D938D7">
              <w:rPr>
                <w:rFonts w:ascii="Arial" w:hAnsi="Arial" w:cs="Arial"/>
              </w:rPr>
              <w:t>e</w:t>
            </w:r>
            <w:r w:rsidR="00520D19" w:rsidRPr="00D938D7">
              <w:rPr>
                <w:rFonts w:ascii="Arial" w:hAnsi="Arial" w:cs="Arial"/>
              </w:rPr>
              <w:t>p</w:t>
            </w:r>
            <w:r w:rsidRPr="00D938D7">
              <w:rPr>
                <w:rFonts w:ascii="Arial" w:hAnsi="Arial" w:cs="Arial"/>
              </w:rPr>
              <w:t>a</w:t>
            </w:r>
            <w:r w:rsidR="00520D19" w:rsidRPr="00D938D7">
              <w:rPr>
                <w:rFonts w:ascii="Arial" w:hAnsi="Arial" w:cs="Arial"/>
              </w:rPr>
              <w:t>rate system</w:t>
            </w:r>
            <w:r w:rsidRPr="00D938D7">
              <w:rPr>
                <w:rFonts w:ascii="Arial" w:hAnsi="Arial" w:cs="Arial"/>
              </w:rPr>
              <w:t>, being</w:t>
            </w:r>
            <w:r w:rsidR="001A1714" w:rsidRPr="00D938D7">
              <w:rPr>
                <w:rFonts w:ascii="Arial" w:hAnsi="Arial" w:cs="Arial"/>
              </w:rPr>
              <w:t xml:space="preserve"> </w:t>
            </w:r>
            <w:r w:rsidR="00520D19" w:rsidRPr="00D938D7">
              <w:rPr>
                <w:rFonts w:ascii="Arial" w:hAnsi="Arial" w:cs="Arial"/>
              </w:rPr>
              <w:t>Mainland and Tasmania</w:t>
            </w:r>
            <w:r w:rsidR="00562CDF" w:rsidRPr="00D938D7">
              <w:rPr>
                <w:rFonts w:ascii="Arial" w:hAnsi="Arial" w:cs="Arial"/>
              </w:rPr>
              <w:t>.</w:t>
            </w:r>
          </w:p>
        </w:tc>
      </w:tr>
      <w:tr w:rsidR="00F717A4" w:rsidRPr="00D938D7" w14:paraId="5A24757C" w14:textId="77777777" w:rsidTr="008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26F8F96" w14:textId="77777777" w:rsidR="00F717A4" w:rsidRPr="00D938D7" w:rsidRDefault="00F717A4" w:rsidP="008B7804">
            <w:pPr>
              <w:pStyle w:val="TableText"/>
              <w:rPr>
                <w:rFonts w:ascii="Arial" w:hAnsi="Arial" w:cs="Arial"/>
                <w:b w:val="0"/>
                <w:color w:val="auto"/>
                <w:vertAlign w:val="subscript"/>
              </w:rPr>
            </w:pPr>
            <w:r w:rsidRPr="00D938D7">
              <w:rPr>
                <w:rFonts w:ascii="Arial" w:hAnsi="Arial" w:cs="Arial"/>
                <w:b w:val="0"/>
                <w:color w:val="auto"/>
              </w:rPr>
              <w:t>AreaMPF</w:t>
            </w:r>
            <w:r w:rsidRPr="00D938D7">
              <w:rPr>
                <w:rFonts w:ascii="Arial" w:hAnsi="Arial" w:cs="Arial"/>
                <w:b w:val="0"/>
                <w:color w:val="auto"/>
                <w:vertAlign w:val="subscript"/>
              </w:rPr>
              <w:t>MNS</w:t>
            </w:r>
          </w:p>
        </w:tc>
        <w:tc>
          <w:tcPr>
            <w:tcW w:w="6894" w:type="dxa"/>
            <w:shd w:val="pct5" w:color="auto" w:fill="auto"/>
          </w:tcPr>
          <w:p w14:paraId="7CE43725" w14:textId="77777777" w:rsidR="00F717A4" w:rsidRPr="00D938D7" w:rsidRDefault="00F717A4" w:rsidP="008B7804">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 xml:space="preserve">Area MPF for a </w:t>
            </w:r>
            <w:r w:rsidRPr="00D938D7">
              <w:rPr>
                <w:rFonts w:ascii="Arial" w:hAnsi="Arial" w:cs="Arial"/>
                <w:i/>
              </w:rPr>
              <w:t xml:space="preserve">Market Participant’s </w:t>
            </w:r>
            <w:r w:rsidRPr="00D938D7">
              <w:rPr>
                <w:rFonts w:ascii="Arial" w:hAnsi="Arial" w:cs="Arial"/>
              </w:rPr>
              <w:t xml:space="preserve">non-scheduled portfolio </w:t>
            </w:r>
          </w:p>
        </w:tc>
      </w:tr>
      <w:tr w:rsidR="00F717A4" w:rsidRPr="00D938D7" w14:paraId="6AEB16BF" w14:textId="77777777" w:rsidTr="008B7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050151EA" w14:textId="77777777" w:rsidR="00F717A4" w:rsidRPr="00D938D7" w:rsidRDefault="00F717A4" w:rsidP="008B7804">
            <w:pPr>
              <w:pStyle w:val="TableText"/>
              <w:rPr>
                <w:rFonts w:ascii="Arial" w:hAnsi="Arial" w:cs="Arial"/>
                <w:b w:val="0"/>
                <w:color w:val="auto"/>
              </w:rPr>
            </w:pPr>
            <w:r w:rsidRPr="00D938D7">
              <w:rPr>
                <w:rFonts w:ascii="Arial" w:hAnsi="Arial" w:cs="Arial"/>
                <w:b w:val="0"/>
                <w:color w:val="auto"/>
              </w:rPr>
              <w:lastRenderedPageBreak/>
              <w:t>AreaMPF</w:t>
            </w:r>
            <w:r w:rsidRPr="00D938D7">
              <w:rPr>
                <w:rFonts w:ascii="Arial" w:hAnsi="Arial" w:cs="Arial"/>
                <w:b w:val="0"/>
                <w:color w:val="auto"/>
                <w:vertAlign w:val="subscript"/>
              </w:rPr>
              <w:t>RES</w:t>
            </w:r>
          </w:p>
        </w:tc>
        <w:tc>
          <w:tcPr>
            <w:tcW w:w="6894" w:type="dxa"/>
            <w:shd w:val="pct5" w:color="auto" w:fill="auto"/>
          </w:tcPr>
          <w:p w14:paraId="1EB04245" w14:textId="77777777" w:rsidR="00F717A4" w:rsidRPr="00D938D7" w:rsidRDefault="00F717A4" w:rsidP="008B7804">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rPr>
              <w:t>Area MPF for residual demand</w:t>
            </w:r>
          </w:p>
        </w:tc>
      </w:tr>
      <w:tr w:rsidR="00F717A4" w:rsidRPr="00D938D7" w14:paraId="296C558D" w14:textId="77777777" w:rsidTr="008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tcBorders>
            <w:shd w:val="pct5" w:color="auto" w:fill="auto"/>
          </w:tcPr>
          <w:p w14:paraId="400841B0" w14:textId="77777777" w:rsidR="00F717A4" w:rsidRPr="00D938D7" w:rsidRDefault="00F717A4" w:rsidP="008B7804">
            <w:pPr>
              <w:pStyle w:val="TableText"/>
              <w:rPr>
                <w:rFonts w:ascii="Arial" w:hAnsi="Arial" w:cs="Arial"/>
                <w:b w:val="0"/>
                <w:color w:val="auto"/>
                <w:vertAlign w:val="subscript"/>
              </w:rPr>
            </w:pPr>
            <w:r w:rsidRPr="00D938D7">
              <w:rPr>
                <w:rFonts w:ascii="Arial" w:hAnsi="Arial" w:cs="Arial"/>
                <w:b w:val="0"/>
                <w:color w:val="auto"/>
              </w:rPr>
              <w:t>AreaMPF</w:t>
            </w:r>
            <w:r w:rsidRPr="00D938D7">
              <w:rPr>
                <w:rFonts w:ascii="Arial" w:hAnsi="Arial" w:cs="Arial"/>
                <w:b w:val="0"/>
                <w:color w:val="auto"/>
                <w:vertAlign w:val="subscript"/>
              </w:rPr>
              <w:t>SSS</w:t>
            </w:r>
          </w:p>
        </w:tc>
        <w:tc>
          <w:tcPr>
            <w:tcW w:w="6894" w:type="dxa"/>
            <w:tcBorders>
              <w:top w:val="single" w:sz="8" w:space="0" w:color="FFFFFF" w:themeColor="background1"/>
            </w:tcBorders>
            <w:shd w:val="pct5" w:color="auto" w:fill="auto"/>
          </w:tcPr>
          <w:p w14:paraId="17CCDDF9" w14:textId="77777777" w:rsidR="00F717A4" w:rsidRPr="00D938D7" w:rsidRDefault="00F717A4" w:rsidP="008B7804">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 xml:space="preserve">Area MPF for a </w:t>
            </w:r>
            <w:r w:rsidRPr="00D938D7">
              <w:rPr>
                <w:rFonts w:ascii="Arial" w:hAnsi="Arial" w:cs="Arial"/>
                <w:i/>
              </w:rPr>
              <w:t xml:space="preserve">Market Participant’s </w:t>
            </w:r>
            <w:r w:rsidRPr="00D938D7">
              <w:rPr>
                <w:rFonts w:ascii="Arial" w:hAnsi="Arial" w:cs="Arial"/>
              </w:rPr>
              <w:t>scheduled and semi-scheduled portfolio</w:t>
            </w:r>
          </w:p>
        </w:tc>
      </w:tr>
      <w:tr w:rsidR="00667ED5" w:rsidRPr="00D938D7" w14:paraId="3943CAD0"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5FFFA98D" w14:textId="1B2E3118" w:rsidR="00667ED5" w:rsidRPr="00D938D7" w:rsidRDefault="00667ED5" w:rsidP="00C43A06">
            <w:pPr>
              <w:pStyle w:val="TableText"/>
              <w:rPr>
                <w:rFonts w:ascii="Arial" w:hAnsi="Arial" w:cs="Arial"/>
                <w:b w:val="0"/>
              </w:rPr>
            </w:pPr>
            <w:r w:rsidRPr="00667ED5">
              <w:rPr>
                <w:rFonts w:ascii="Arial" w:hAnsi="Arial" w:cs="Arial"/>
                <w:b w:val="0"/>
                <w:color w:val="auto"/>
              </w:rPr>
              <w:t>ARLF</w:t>
            </w:r>
          </w:p>
        </w:tc>
        <w:tc>
          <w:tcPr>
            <w:tcW w:w="6894" w:type="dxa"/>
            <w:tcBorders>
              <w:top w:val="single" w:sz="8" w:space="0" w:color="FFFFFF" w:themeColor="background1"/>
              <w:bottom w:val="single" w:sz="8" w:space="0" w:color="FFFFFF" w:themeColor="background1"/>
            </w:tcBorders>
            <w:shd w:val="pct5" w:color="auto" w:fill="auto"/>
          </w:tcPr>
          <w:p w14:paraId="6E186767" w14:textId="457BDD85" w:rsidR="00667ED5" w:rsidRPr="00D938D7" w:rsidRDefault="00667ED5"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Area residual load factor</w:t>
            </w:r>
          </w:p>
        </w:tc>
      </w:tr>
      <w:tr w:rsidR="00667ED5" w:rsidRPr="00D938D7" w14:paraId="6F21E964" w14:textId="77777777" w:rsidTr="0073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21880CF0" w14:textId="77777777" w:rsidR="00667ED5" w:rsidRPr="00D938D7" w:rsidRDefault="00667ED5" w:rsidP="00737624">
            <w:pPr>
              <w:pStyle w:val="TableText"/>
              <w:rPr>
                <w:rFonts w:ascii="Arial" w:hAnsi="Arial" w:cs="Arial"/>
                <w:b w:val="0"/>
                <w:color w:val="auto"/>
              </w:rPr>
            </w:pPr>
            <w:r w:rsidRPr="00D938D7">
              <w:rPr>
                <w:rFonts w:ascii="Arial" w:hAnsi="Arial" w:cs="Arial"/>
                <w:b w:val="0"/>
                <w:color w:val="auto"/>
              </w:rPr>
              <w:t xml:space="preserve">ATF </w:t>
            </w:r>
          </w:p>
        </w:tc>
        <w:tc>
          <w:tcPr>
            <w:tcW w:w="6894" w:type="dxa"/>
            <w:tcBorders>
              <w:top w:val="single" w:sz="8" w:space="0" w:color="FFFFFF" w:themeColor="background1"/>
              <w:bottom w:val="single" w:sz="8" w:space="0" w:color="FFFFFF" w:themeColor="background1"/>
            </w:tcBorders>
            <w:shd w:val="pct5" w:color="auto" w:fill="auto"/>
          </w:tcPr>
          <w:p w14:paraId="7B650FF3" w14:textId="77777777" w:rsidR="00667ED5" w:rsidRPr="00D938D7" w:rsidRDefault="00667ED5" w:rsidP="00737624">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 xml:space="preserve">Total </w:t>
            </w:r>
            <w:r>
              <w:rPr>
                <w:rFonts w:ascii="Arial" w:hAnsi="Arial" w:cs="Arial"/>
              </w:rPr>
              <w:t xml:space="preserve">area factor, used to produce normalised Contribution Factors. </w:t>
            </w:r>
          </w:p>
        </w:tc>
      </w:tr>
      <w:tr w:rsidR="00D938D7" w:rsidRPr="00D938D7" w14:paraId="76452935"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C5D810B" w14:textId="51D50852" w:rsidR="00DD59E4" w:rsidRPr="00D938D7" w:rsidRDefault="00DD59E4" w:rsidP="00C43A06">
            <w:pPr>
              <w:pStyle w:val="TableText"/>
              <w:rPr>
                <w:rFonts w:ascii="Arial" w:hAnsi="Arial" w:cs="Arial"/>
                <w:b w:val="0"/>
                <w:color w:val="auto"/>
              </w:rPr>
            </w:pPr>
          </w:p>
        </w:tc>
        <w:tc>
          <w:tcPr>
            <w:tcW w:w="6894" w:type="dxa"/>
            <w:shd w:val="pct5" w:color="auto" w:fill="auto"/>
          </w:tcPr>
          <w:p w14:paraId="5A2C7303" w14:textId="6FC10FF0"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938D7" w:rsidRPr="00D938D7" w14:paraId="5AF14893"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64ABE67"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CMPF</w:t>
            </w:r>
          </w:p>
        </w:tc>
        <w:tc>
          <w:tcPr>
            <w:tcW w:w="6894" w:type="dxa"/>
            <w:shd w:val="pct5" w:color="auto" w:fill="auto"/>
          </w:tcPr>
          <w:p w14:paraId="0C7761D8" w14:textId="5FD29D11"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 xml:space="preserve">Constraint MPF (see clause </w:t>
            </w:r>
            <w:r w:rsidR="0083095A" w:rsidRPr="00D938D7">
              <w:rPr>
                <w:rFonts w:ascii="Arial" w:hAnsi="Arial" w:cs="Arial"/>
                <w:highlight w:val="yellow"/>
              </w:rPr>
              <w:fldChar w:fldCharType="begin"/>
            </w:r>
            <w:r w:rsidR="0083095A" w:rsidRPr="00D938D7">
              <w:rPr>
                <w:rFonts w:ascii="Arial" w:hAnsi="Arial" w:cs="Arial"/>
              </w:rPr>
              <w:instrText xml:space="preserve"> REF _Ref506870066 \r \h </w:instrText>
            </w:r>
            <w:r w:rsidR="0083095A" w:rsidRPr="00D938D7">
              <w:rPr>
                <w:rFonts w:ascii="Arial" w:hAnsi="Arial" w:cs="Arial"/>
                <w:highlight w:val="yellow"/>
              </w:rPr>
            </w:r>
            <w:r w:rsidR="0083095A" w:rsidRPr="00D938D7">
              <w:rPr>
                <w:rFonts w:ascii="Arial" w:hAnsi="Arial" w:cs="Arial"/>
                <w:highlight w:val="yellow"/>
              </w:rPr>
              <w:fldChar w:fldCharType="separate"/>
            </w:r>
            <w:r w:rsidR="003E2BF7">
              <w:rPr>
                <w:rFonts w:ascii="Arial" w:hAnsi="Arial" w:cs="Arial"/>
              </w:rPr>
              <w:t>8.3</w:t>
            </w:r>
            <w:r w:rsidR="0083095A" w:rsidRPr="00D938D7">
              <w:rPr>
                <w:rFonts w:ascii="Arial" w:hAnsi="Arial" w:cs="Arial"/>
                <w:highlight w:val="yellow"/>
              </w:rPr>
              <w:fldChar w:fldCharType="end"/>
            </w:r>
            <w:r w:rsidRPr="00D938D7">
              <w:rPr>
                <w:rFonts w:ascii="Arial" w:hAnsi="Arial" w:cs="Arial"/>
              </w:rPr>
              <w:t>)</w:t>
            </w:r>
          </w:p>
        </w:tc>
      </w:tr>
      <w:tr w:rsidR="00D938D7" w:rsidRPr="00D938D7" w14:paraId="73B03517"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57A1693"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Contingency FCAS</w:t>
            </w:r>
          </w:p>
        </w:tc>
        <w:tc>
          <w:tcPr>
            <w:tcW w:w="6894" w:type="dxa"/>
            <w:shd w:val="pct5" w:color="auto" w:fill="auto"/>
          </w:tcPr>
          <w:p w14:paraId="67C10A2C"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i/>
              </w:rPr>
              <w:t>Fast raise services</w:t>
            </w:r>
            <w:r w:rsidRPr="00D938D7">
              <w:rPr>
                <w:rFonts w:ascii="Arial" w:hAnsi="Arial" w:cs="Arial"/>
              </w:rPr>
              <w:t xml:space="preserve">, </w:t>
            </w:r>
            <w:r w:rsidRPr="00D938D7">
              <w:rPr>
                <w:rFonts w:ascii="Arial" w:hAnsi="Arial" w:cs="Arial"/>
                <w:i/>
              </w:rPr>
              <w:t xml:space="preserve"> slow raise services</w:t>
            </w:r>
            <w:r w:rsidRPr="00D938D7">
              <w:rPr>
                <w:rFonts w:ascii="Arial" w:hAnsi="Arial" w:cs="Arial"/>
              </w:rPr>
              <w:t xml:space="preserve">, </w:t>
            </w:r>
            <w:r w:rsidRPr="00D938D7">
              <w:rPr>
                <w:rFonts w:ascii="Arial" w:hAnsi="Arial" w:cs="Arial"/>
                <w:i/>
              </w:rPr>
              <w:t>delayed raise services</w:t>
            </w:r>
            <w:r w:rsidRPr="00D938D7">
              <w:rPr>
                <w:rFonts w:ascii="Arial" w:hAnsi="Arial" w:cs="Arial"/>
              </w:rPr>
              <w:t xml:space="preserve">, </w:t>
            </w:r>
            <w:r w:rsidRPr="00D938D7">
              <w:rPr>
                <w:rFonts w:ascii="Arial" w:hAnsi="Arial" w:cs="Arial"/>
                <w:i/>
              </w:rPr>
              <w:t>fast lower services</w:t>
            </w:r>
            <w:r w:rsidRPr="00D938D7">
              <w:rPr>
                <w:rFonts w:ascii="Arial" w:hAnsi="Arial" w:cs="Arial"/>
              </w:rPr>
              <w:t xml:space="preserve">, </w:t>
            </w:r>
            <w:r w:rsidRPr="00D938D7">
              <w:rPr>
                <w:rFonts w:ascii="Arial" w:hAnsi="Arial" w:cs="Arial"/>
                <w:i/>
              </w:rPr>
              <w:t>slow lower services</w:t>
            </w:r>
            <w:r w:rsidRPr="00D938D7">
              <w:rPr>
                <w:rFonts w:ascii="Arial" w:hAnsi="Arial" w:cs="Arial"/>
              </w:rPr>
              <w:t xml:space="preserve"> and </w:t>
            </w:r>
            <w:r w:rsidRPr="00D938D7">
              <w:rPr>
                <w:rFonts w:ascii="Arial" w:hAnsi="Arial" w:cs="Arial"/>
                <w:i/>
              </w:rPr>
              <w:t>delayed lower services</w:t>
            </w:r>
            <w:r w:rsidRPr="00D938D7">
              <w:rPr>
                <w:rFonts w:ascii="Arial" w:hAnsi="Arial" w:cs="Arial"/>
              </w:rPr>
              <w:t>.</w:t>
            </w:r>
          </w:p>
        </w:tc>
      </w:tr>
      <w:tr w:rsidR="00D938D7" w:rsidRPr="00D938D7" w14:paraId="1B64507E"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9F19DE7"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Contribution Factor</w:t>
            </w:r>
          </w:p>
        </w:tc>
        <w:tc>
          <w:tcPr>
            <w:tcW w:w="6894" w:type="dxa"/>
            <w:shd w:val="pct5" w:color="auto" w:fill="auto"/>
          </w:tcPr>
          <w:p w14:paraId="55438C25"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D938D7">
              <w:rPr>
                <w:rFonts w:ascii="Arial" w:hAnsi="Arial" w:cs="Arial"/>
              </w:rPr>
              <w:t xml:space="preserve">The factor that represents the percentage of Regulation FCAS costs for which a particular </w:t>
            </w:r>
            <w:r w:rsidRPr="00D938D7">
              <w:rPr>
                <w:rFonts w:ascii="Arial" w:hAnsi="Arial" w:cs="Arial"/>
                <w:i/>
              </w:rPr>
              <w:t xml:space="preserve">Market Participant </w:t>
            </w:r>
            <w:r w:rsidRPr="00D938D7">
              <w:rPr>
                <w:rFonts w:ascii="Arial" w:hAnsi="Arial" w:cs="Arial"/>
              </w:rPr>
              <w:t>is liable.</w:t>
            </w:r>
          </w:p>
        </w:tc>
      </w:tr>
      <w:tr w:rsidR="00D938D7" w:rsidRPr="00D938D7" w14:paraId="7DFE5B2A"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270BE92" w14:textId="77777777" w:rsidR="00DD59E4" w:rsidRPr="00D938D7" w:rsidRDefault="00DD59E4" w:rsidP="00C43A06">
            <w:pPr>
              <w:pStyle w:val="TableText"/>
              <w:rPr>
                <w:rFonts w:ascii="Arial" w:hAnsi="Arial" w:cs="Arial"/>
                <w:b w:val="0"/>
                <w:color w:val="auto"/>
              </w:rPr>
            </w:pPr>
            <w:r w:rsidRPr="00D938D7">
              <w:rPr>
                <w:rFonts w:ascii="Arial" w:hAnsi="Arial" w:cs="Arial"/>
                <w:b w:val="0"/>
                <w:color w:val="auto"/>
              </w:rPr>
              <w:t>CRMPF</w:t>
            </w:r>
          </w:p>
        </w:tc>
        <w:tc>
          <w:tcPr>
            <w:tcW w:w="6894" w:type="dxa"/>
            <w:shd w:val="pct5" w:color="auto" w:fill="auto"/>
          </w:tcPr>
          <w:p w14:paraId="6A4BEE35" w14:textId="54803D15"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rPr>
              <w:t xml:space="preserve">Constraint residual MPF (see clause </w:t>
            </w:r>
            <w:r w:rsidR="0083095A" w:rsidRPr="00D938D7">
              <w:rPr>
                <w:rFonts w:ascii="Arial" w:hAnsi="Arial" w:cs="Arial"/>
                <w:highlight w:val="yellow"/>
              </w:rPr>
              <w:fldChar w:fldCharType="begin"/>
            </w:r>
            <w:r w:rsidR="0083095A" w:rsidRPr="00D938D7">
              <w:rPr>
                <w:rFonts w:ascii="Arial" w:hAnsi="Arial" w:cs="Arial"/>
              </w:rPr>
              <w:instrText xml:space="preserve"> REF _Ref506870066 \r \h </w:instrText>
            </w:r>
            <w:r w:rsidR="0083095A" w:rsidRPr="00D938D7">
              <w:rPr>
                <w:rFonts w:ascii="Arial" w:hAnsi="Arial" w:cs="Arial"/>
                <w:highlight w:val="yellow"/>
              </w:rPr>
            </w:r>
            <w:r w:rsidR="0083095A" w:rsidRPr="00D938D7">
              <w:rPr>
                <w:rFonts w:ascii="Arial" w:hAnsi="Arial" w:cs="Arial"/>
                <w:highlight w:val="yellow"/>
              </w:rPr>
              <w:fldChar w:fldCharType="separate"/>
            </w:r>
            <w:r w:rsidR="003E2BF7">
              <w:rPr>
                <w:rFonts w:ascii="Arial" w:hAnsi="Arial" w:cs="Arial"/>
              </w:rPr>
              <w:t>8.3</w:t>
            </w:r>
            <w:r w:rsidR="0083095A" w:rsidRPr="00D938D7">
              <w:rPr>
                <w:rFonts w:ascii="Arial" w:hAnsi="Arial" w:cs="Arial"/>
                <w:highlight w:val="yellow"/>
              </w:rPr>
              <w:fldChar w:fldCharType="end"/>
            </w:r>
            <w:r w:rsidRPr="00D938D7">
              <w:rPr>
                <w:rFonts w:ascii="Arial" w:hAnsi="Arial" w:cs="Arial"/>
              </w:rPr>
              <w:t>)</w:t>
            </w:r>
          </w:p>
        </w:tc>
      </w:tr>
      <w:tr w:rsidR="00D938D7" w:rsidRPr="00D938D7" w14:paraId="318A0760"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21FC5A63" w14:textId="77777777" w:rsidR="00DD59E4" w:rsidRPr="00D938D7" w:rsidRDefault="00DD59E4" w:rsidP="00C43A06">
            <w:pPr>
              <w:pStyle w:val="TableText"/>
              <w:rPr>
                <w:b w:val="0"/>
                <w:color w:val="auto"/>
              </w:rPr>
            </w:pPr>
            <w:r w:rsidRPr="00D938D7">
              <w:rPr>
                <w:b w:val="0"/>
                <w:color w:val="auto"/>
              </w:rPr>
              <w:t>Deviation</w:t>
            </w:r>
          </w:p>
        </w:tc>
        <w:tc>
          <w:tcPr>
            <w:tcW w:w="6894" w:type="dxa"/>
            <w:shd w:val="pct5" w:color="auto" w:fill="auto"/>
          </w:tcPr>
          <w:p w14:paraId="692452D1"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The difference (in MW) of a measurement of </w:t>
            </w:r>
            <w:r w:rsidRPr="00D938D7">
              <w:rPr>
                <w:i/>
              </w:rPr>
              <w:t xml:space="preserve">active power </w:t>
            </w:r>
            <w:r w:rsidRPr="00D938D7">
              <w:t>and the reference trajectory for a facility.</w:t>
            </w:r>
          </w:p>
        </w:tc>
      </w:tr>
      <w:tr w:rsidR="00D938D7" w:rsidRPr="00D938D7" w14:paraId="5D79C814"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749B37C" w14:textId="77777777" w:rsidR="00DD59E4" w:rsidRPr="00D938D7" w:rsidRDefault="00DD59E4" w:rsidP="00C43A06">
            <w:pPr>
              <w:pStyle w:val="TableText"/>
              <w:rPr>
                <w:b w:val="0"/>
                <w:color w:val="auto"/>
              </w:rPr>
            </w:pPr>
            <w:r w:rsidRPr="00D938D7">
              <w:rPr>
                <w:b w:val="0"/>
                <w:color w:val="auto"/>
              </w:rPr>
              <w:t>DF</w:t>
            </w:r>
          </w:p>
        </w:tc>
        <w:tc>
          <w:tcPr>
            <w:tcW w:w="6894" w:type="dxa"/>
            <w:shd w:val="pct5" w:color="auto" w:fill="auto"/>
          </w:tcPr>
          <w:p w14:paraId="01776C13"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Demand forecast offset</w:t>
            </w:r>
          </w:p>
        </w:tc>
      </w:tr>
      <w:tr w:rsidR="00D938D7" w:rsidRPr="00D938D7" w14:paraId="769378E5"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23FD836E" w14:textId="77777777" w:rsidR="00DD59E4" w:rsidRPr="00D938D7" w:rsidRDefault="00DD59E4" w:rsidP="00C43A06">
            <w:pPr>
              <w:pStyle w:val="TableText"/>
              <w:rPr>
                <w:b w:val="0"/>
                <w:color w:val="auto"/>
              </w:rPr>
            </w:pPr>
            <w:r w:rsidRPr="00D938D7">
              <w:rPr>
                <w:b w:val="0"/>
                <w:color w:val="auto"/>
              </w:rPr>
              <w:t>DG</w:t>
            </w:r>
          </w:p>
        </w:tc>
        <w:tc>
          <w:tcPr>
            <w:tcW w:w="6894" w:type="dxa"/>
            <w:shd w:val="pct5" w:color="auto" w:fill="auto"/>
          </w:tcPr>
          <w:p w14:paraId="4FA7E1EF"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Demand measured at </w:t>
            </w:r>
            <w:r w:rsidRPr="00D938D7">
              <w:rPr>
                <w:i/>
              </w:rPr>
              <w:t>generating unit</w:t>
            </w:r>
            <w:r w:rsidRPr="00D938D7">
              <w:t xml:space="preserve"> terminals</w:t>
            </w:r>
          </w:p>
        </w:tc>
      </w:tr>
      <w:tr w:rsidR="00D938D7" w:rsidRPr="00D938D7" w14:paraId="2FB9208F"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291D8B0" w14:textId="77777777" w:rsidR="00DD59E4" w:rsidRPr="00D938D7" w:rsidRDefault="00DD59E4" w:rsidP="00C43A06">
            <w:pPr>
              <w:pStyle w:val="TableText"/>
              <w:rPr>
                <w:b w:val="0"/>
                <w:color w:val="auto"/>
              </w:rPr>
            </w:pPr>
            <w:r w:rsidRPr="00D938D7">
              <w:rPr>
                <w:b w:val="0"/>
                <w:color w:val="auto"/>
              </w:rPr>
              <w:t>DGB</w:t>
            </w:r>
          </w:p>
        </w:tc>
        <w:tc>
          <w:tcPr>
            <w:tcW w:w="6894" w:type="dxa"/>
            <w:shd w:val="pct5" w:color="auto" w:fill="auto"/>
          </w:tcPr>
          <w:p w14:paraId="00329635"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Base demand at </w:t>
            </w:r>
            <w:r w:rsidRPr="00D938D7">
              <w:rPr>
                <w:i/>
              </w:rPr>
              <w:t>generating unit</w:t>
            </w:r>
            <w:r w:rsidRPr="00D938D7">
              <w:t xml:space="preserve"> terminals</w:t>
            </w:r>
          </w:p>
        </w:tc>
      </w:tr>
      <w:tr w:rsidR="00D938D7" w:rsidRPr="00D938D7" w14:paraId="6E90D28A"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C22D55B" w14:textId="77777777" w:rsidR="00DD59E4" w:rsidRPr="00D938D7" w:rsidRDefault="00DD59E4" w:rsidP="00C43A06">
            <w:pPr>
              <w:pStyle w:val="TableText"/>
              <w:rPr>
                <w:b w:val="0"/>
                <w:color w:val="auto"/>
              </w:rPr>
            </w:pPr>
            <w:r w:rsidRPr="00D938D7">
              <w:rPr>
                <w:b w:val="0"/>
                <w:color w:val="auto"/>
              </w:rPr>
              <w:t>DGEN</w:t>
            </w:r>
          </w:p>
        </w:tc>
        <w:tc>
          <w:tcPr>
            <w:tcW w:w="6894" w:type="dxa"/>
            <w:shd w:val="pct5" w:color="auto" w:fill="auto"/>
          </w:tcPr>
          <w:p w14:paraId="0F5FF042"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5-minute dispatchable </w:t>
            </w:r>
            <w:r w:rsidRPr="00D938D7">
              <w:rPr>
                <w:i/>
              </w:rPr>
              <w:t>generation</w:t>
            </w:r>
          </w:p>
        </w:tc>
      </w:tr>
      <w:tr w:rsidR="00D938D7" w:rsidRPr="00D938D7" w14:paraId="5793DE9E"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4E9EBAC" w14:textId="77777777" w:rsidR="00DD59E4" w:rsidRPr="00D938D7" w:rsidRDefault="00DD59E4" w:rsidP="00C43A06">
            <w:pPr>
              <w:pStyle w:val="TableText"/>
              <w:rPr>
                <w:b w:val="0"/>
                <w:color w:val="auto"/>
              </w:rPr>
            </w:pPr>
            <w:r w:rsidRPr="00D938D7">
              <w:rPr>
                <w:b w:val="0"/>
                <w:color w:val="auto"/>
              </w:rPr>
              <w:t>DGX</w:t>
            </w:r>
          </w:p>
        </w:tc>
        <w:tc>
          <w:tcPr>
            <w:tcW w:w="6894" w:type="dxa"/>
            <w:shd w:val="pct5" w:color="auto" w:fill="auto"/>
          </w:tcPr>
          <w:p w14:paraId="5D0302EB"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Ex-post least squares line of best fit for demand measured at </w:t>
            </w:r>
            <w:r w:rsidRPr="00D938D7">
              <w:rPr>
                <w:i/>
              </w:rPr>
              <w:t>generating unit</w:t>
            </w:r>
            <w:r w:rsidRPr="00D938D7">
              <w:t xml:space="preserve"> terminals</w:t>
            </w:r>
          </w:p>
        </w:tc>
      </w:tr>
      <w:tr w:rsidR="00D938D7" w:rsidRPr="00D938D7" w14:paraId="5E89882B"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ED026CB" w14:textId="77777777" w:rsidR="00DD59E4" w:rsidRPr="00D938D7" w:rsidRDefault="00DD59E4" w:rsidP="00C43A06">
            <w:pPr>
              <w:pStyle w:val="TableText"/>
              <w:rPr>
                <w:b w:val="0"/>
                <w:color w:val="auto"/>
              </w:rPr>
            </w:pPr>
            <w:r w:rsidRPr="00D938D7">
              <w:rPr>
                <w:b w:val="0"/>
                <w:color w:val="auto"/>
              </w:rPr>
              <w:t>DI</w:t>
            </w:r>
          </w:p>
        </w:tc>
        <w:tc>
          <w:tcPr>
            <w:tcW w:w="6894" w:type="dxa"/>
            <w:shd w:val="pct5" w:color="auto" w:fill="auto"/>
          </w:tcPr>
          <w:p w14:paraId="726D19F4"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i/>
              </w:rPr>
            </w:pPr>
            <w:r w:rsidRPr="00D938D7">
              <w:t xml:space="preserve">A 5-minute </w:t>
            </w:r>
            <w:r w:rsidRPr="00D938D7">
              <w:rPr>
                <w:i/>
              </w:rPr>
              <w:t>dispatch interval</w:t>
            </w:r>
          </w:p>
        </w:tc>
      </w:tr>
      <w:tr w:rsidR="00D938D7" w:rsidRPr="00D938D7" w14:paraId="5DB0926A"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D39D46D" w14:textId="5C8D5C87" w:rsidR="00DD59E4" w:rsidRPr="00D938D7" w:rsidRDefault="00DD59E4" w:rsidP="00C43A06">
            <w:pPr>
              <w:pStyle w:val="TableText"/>
              <w:rPr>
                <w:b w:val="0"/>
                <w:color w:val="auto"/>
              </w:rPr>
            </w:pPr>
          </w:p>
        </w:tc>
        <w:tc>
          <w:tcPr>
            <w:tcW w:w="6894" w:type="dxa"/>
            <w:shd w:val="pct5" w:color="auto" w:fill="auto"/>
          </w:tcPr>
          <w:p w14:paraId="0E974EA4" w14:textId="0C28235D"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p>
        </w:tc>
      </w:tr>
      <w:tr w:rsidR="00D938D7" w:rsidRPr="00D938D7" w14:paraId="6B88C014"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9EDC61F" w14:textId="77777777" w:rsidR="00DD59E4" w:rsidRPr="00D938D7" w:rsidRDefault="00DD59E4" w:rsidP="00C43A06">
            <w:pPr>
              <w:pStyle w:val="TableText"/>
              <w:rPr>
                <w:b w:val="0"/>
                <w:color w:val="auto"/>
              </w:rPr>
            </w:pPr>
            <w:r w:rsidRPr="00D938D7">
              <w:rPr>
                <w:b w:val="0"/>
                <w:color w:val="auto"/>
              </w:rPr>
              <w:t>DM</w:t>
            </w:r>
          </w:p>
        </w:tc>
        <w:tc>
          <w:tcPr>
            <w:tcW w:w="6894" w:type="dxa"/>
            <w:shd w:val="pct5" w:color="auto" w:fill="auto"/>
          </w:tcPr>
          <w:p w14:paraId="11D67665"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Measured demand</w:t>
            </w:r>
          </w:p>
        </w:tc>
      </w:tr>
      <w:tr w:rsidR="00D938D7" w:rsidRPr="00D938D7" w14:paraId="4C7408A0"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83DB2BA" w14:textId="7AE14DD2" w:rsidR="00DD59E4" w:rsidRPr="00D938D7" w:rsidRDefault="00DD59E4" w:rsidP="00C43A06">
            <w:pPr>
              <w:pStyle w:val="TableText"/>
              <w:rPr>
                <w:b w:val="0"/>
                <w:color w:val="auto"/>
              </w:rPr>
            </w:pPr>
          </w:p>
        </w:tc>
        <w:tc>
          <w:tcPr>
            <w:tcW w:w="6894" w:type="dxa"/>
            <w:shd w:val="pct5" w:color="auto" w:fill="auto"/>
          </w:tcPr>
          <w:p w14:paraId="71FE8653" w14:textId="3E85AF2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p>
        </w:tc>
      </w:tr>
      <w:tr w:rsidR="00D938D7" w:rsidRPr="00D938D7" w14:paraId="06FD7A78"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A7BC050" w14:textId="77777777" w:rsidR="00DD59E4" w:rsidRPr="00D938D7" w:rsidRDefault="00DD59E4" w:rsidP="00C43A06">
            <w:pPr>
              <w:pStyle w:val="TableText"/>
              <w:rPr>
                <w:b w:val="0"/>
                <w:color w:val="auto"/>
              </w:rPr>
            </w:pPr>
            <w:r w:rsidRPr="00D938D7">
              <w:rPr>
                <w:b w:val="0"/>
                <w:color w:val="auto"/>
              </w:rPr>
              <w:t>DMX</w:t>
            </w:r>
          </w:p>
        </w:tc>
        <w:tc>
          <w:tcPr>
            <w:tcW w:w="6894" w:type="dxa"/>
            <w:shd w:val="pct5" w:color="auto" w:fill="auto"/>
          </w:tcPr>
          <w:p w14:paraId="188D7CE7"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Measured demand at the beginning of a DI</w:t>
            </w:r>
          </w:p>
        </w:tc>
      </w:tr>
      <w:tr w:rsidR="00D938D7" w:rsidRPr="00D938D7" w14:paraId="1FFF8540"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5500B2F" w14:textId="299D37A9" w:rsidR="00DD59E4" w:rsidRPr="00D938D7" w:rsidRDefault="00DD59E4" w:rsidP="00C43A06">
            <w:pPr>
              <w:pStyle w:val="TableText"/>
              <w:rPr>
                <w:b w:val="0"/>
                <w:color w:val="auto"/>
              </w:rPr>
            </w:pPr>
          </w:p>
        </w:tc>
        <w:tc>
          <w:tcPr>
            <w:tcW w:w="6894" w:type="dxa"/>
            <w:shd w:val="pct5" w:color="auto" w:fill="auto"/>
          </w:tcPr>
          <w:p w14:paraId="2AC9EFC1" w14:textId="0F6D2A69"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p>
        </w:tc>
      </w:tr>
      <w:tr w:rsidR="00D938D7" w:rsidRPr="00D938D7" w14:paraId="435F730A"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28A79C54" w14:textId="6A00B3B7" w:rsidR="00DD59E4" w:rsidRPr="00D938D7" w:rsidRDefault="00DD59E4" w:rsidP="00C43A06">
            <w:pPr>
              <w:pStyle w:val="TableText"/>
              <w:rPr>
                <w:b w:val="0"/>
                <w:color w:val="auto"/>
              </w:rPr>
            </w:pPr>
          </w:p>
        </w:tc>
        <w:tc>
          <w:tcPr>
            <w:tcW w:w="6894" w:type="dxa"/>
            <w:shd w:val="pct5" w:color="auto" w:fill="auto"/>
          </w:tcPr>
          <w:p w14:paraId="4124FF35" w14:textId="37FB6ED0"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p>
        </w:tc>
      </w:tr>
      <w:tr w:rsidR="00D938D7" w:rsidRPr="00D938D7" w14:paraId="6C81CF73"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FCD17DB" w14:textId="77777777" w:rsidR="00DD59E4" w:rsidRPr="00D938D7" w:rsidRDefault="00DD59E4" w:rsidP="00C43A06">
            <w:pPr>
              <w:pStyle w:val="TableText"/>
              <w:rPr>
                <w:b w:val="0"/>
                <w:color w:val="auto"/>
              </w:rPr>
            </w:pPr>
            <w:r w:rsidRPr="00D938D7">
              <w:rPr>
                <w:b w:val="0"/>
                <w:color w:val="auto"/>
              </w:rPr>
              <w:t>EMS</w:t>
            </w:r>
          </w:p>
        </w:tc>
        <w:tc>
          <w:tcPr>
            <w:tcW w:w="6894" w:type="dxa"/>
            <w:shd w:val="pct5" w:color="auto" w:fill="auto"/>
          </w:tcPr>
          <w:p w14:paraId="3A190281"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Energy Management System</w:t>
            </w:r>
          </w:p>
        </w:tc>
      </w:tr>
      <w:tr w:rsidR="00D938D7" w:rsidRPr="00D938D7" w14:paraId="576CB2A7"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B005EA5" w14:textId="77777777" w:rsidR="00DD59E4" w:rsidRPr="00D938D7" w:rsidRDefault="00DD59E4" w:rsidP="00C43A06">
            <w:pPr>
              <w:pStyle w:val="TableText"/>
              <w:rPr>
                <w:b w:val="0"/>
                <w:color w:val="auto"/>
              </w:rPr>
            </w:pPr>
            <w:r w:rsidRPr="00D938D7">
              <w:rPr>
                <w:b w:val="0"/>
                <w:color w:val="auto"/>
              </w:rPr>
              <w:t>FCAS</w:t>
            </w:r>
          </w:p>
        </w:tc>
        <w:tc>
          <w:tcPr>
            <w:tcW w:w="6894" w:type="dxa"/>
            <w:shd w:val="pct5" w:color="auto" w:fill="auto"/>
          </w:tcPr>
          <w:p w14:paraId="683BC11F"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rPr>
                <w:i/>
              </w:rPr>
              <w:t>Frequency</w:t>
            </w:r>
            <w:r w:rsidRPr="00D938D7">
              <w:t xml:space="preserve"> </w:t>
            </w:r>
            <w:r w:rsidRPr="00D938D7">
              <w:rPr>
                <w:i/>
              </w:rPr>
              <w:t>control ancillary service</w:t>
            </w:r>
          </w:p>
        </w:tc>
      </w:tr>
      <w:tr w:rsidR="00D938D7" w:rsidRPr="00D938D7" w14:paraId="2768E525"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000E9C32" w14:textId="77777777" w:rsidR="00DD59E4" w:rsidRPr="00D938D7" w:rsidRDefault="00DD59E4" w:rsidP="00C43A06">
            <w:pPr>
              <w:pStyle w:val="TableText"/>
              <w:rPr>
                <w:b w:val="0"/>
                <w:color w:val="auto"/>
              </w:rPr>
            </w:pPr>
            <w:r w:rsidRPr="00D938D7">
              <w:rPr>
                <w:b w:val="0"/>
                <w:color w:val="auto"/>
              </w:rPr>
              <w:t>FL</w:t>
            </w:r>
          </w:p>
        </w:tc>
        <w:tc>
          <w:tcPr>
            <w:tcW w:w="6894" w:type="dxa"/>
            <w:shd w:val="pct5" w:color="auto" w:fill="auto"/>
          </w:tcPr>
          <w:p w14:paraId="4B8AD061"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5-minute </w:t>
            </w:r>
            <w:r w:rsidRPr="00D938D7">
              <w:rPr>
                <w:i/>
              </w:rPr>
              <w:t>interconnector</w:t>
            </w:r>
            <w:r w:rsidRPr="00D938D7">
              <w:t xml:space="preserve"> flow</w:t>
            </w:r>
          </w:p>
        </w:tc>
      </w:tr>
      <w:tr w:rsidR="00D938D7" w:rsidRPr="00D938D7" w14:paraId="41F298F8"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E2B7DA0" w14:textId="77777777" w:rsidR="00DD59E4" w:rsidRPr="00D938D7" w:rsidRDefault="00DD59E4" w:rsidP="00C43A06">
            <w:pPr>
              <w:pStyle w:val="TableText"/>
              <w:rPr>
                <w:b w:val="0"/>
                <w:color w:val="auto"/>
              </w:rPr>
            </w:pPr>
            <w:r w:rsidRPr="00D938D7">
              <w:rPr>
                <w:b w:val="0"/>
                <w:color w:val="auto"/>
              </w:rPr>
              <w:t>Frequency Indicator (FI)</w:t>
            </w:r>
          </w:p>
        </w:tc>
        <w:tc>
          <w:tcPr>
            <w:tcW w:w="6894" w:type="dxa"/>
            <w:shd w:val="pct5" w:color="auto" w:fill="auto"/>
          </w:tcPr>
          <w:p w14:paraId="657F6460" w14:textId="61A76C51"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The parameter from AEMO’s AGC</w:t>
            </w:r>
            <w:r w:rsidRPr="00D938D7">
              <w:rPr>
                <w:rStyle w:val="FootnoteReference"/>
              </w:rPr>
              <w:footnoteReference w:id="1"/>
            </w:r>
            <w:r w:rsidRPr="00D938D7">
              <w:t xml:space="preserve"> indicating the extent to which more or less </w:t>
            </w:r>
            <w:r w:rsidRPr="00D938D7">
              <w:rPr>
                <w:i/>
              </w:rPr>
              <w:t>generation</w:t>
            </w:r>
            <w:r w:rsidR="00843355" w:rsidRPr="00D938D7">
              <w:t xml:space="preserve"> </w:t>
            </w:r>
            <w:r w:rsidRPr="00D938D7">
              <w:t xml:space="preserve">is required to adjust the </w:t>
            </w:r>
            <w:r w:rsidRPr="00D938D7">
              <w:rPr>
                <w:i/>
              </w:rPr>
              <w:t>frequency</w:t>
            </w:r>
            <w:r w:rsidRPr="00D938D7">
              <w:t xml:space="preserve"> towards 50 Hz. The sign of FI indicates </w:t>
            </w:r>
            <w:r w:rsidR="009873FC" w:rsidRPr="00D938D7">
              <w:t xml:space="preserve">the direction of </w:t>
            </w:r>
            <w:r w:rsidR="009873FC" w:rsidRPr="00D938D7">
              <w:rPr>
                <w:i/>
              </w:rPr>
              <w:t>regulating capability</w:t>
            </w:r>
            <w:r w:rsidR="009873FC" w:rsidRPr="00D938D7">
              <w:t xml:space="preserve"> required </w:t>
            </w:r>
            <w:r w:rsidRPr="00D938D7">
              <w:t>at a given time</w:t>
            </w:r>
            <w:r w:rsidR="00843355" w:rsidRPr="00D938D7">
              <w:t xml:space="preserve"> (positive </w:t>
            </w:r>
            <w:r w:rsidR="009873FC" w:rsidRPr="00D938D7">
              <w:t xml:space="preserve">for </w:t>
            </w:r>
            <w:r w:rsidR="00843355" w:rsidRPr="00D938D7">
              <w:t xml:space="preserve">a </w:t>
            </w:r>
            <w:r w:rsidR="00843355" w:rsidRPr="00D938D7">
              <w:rPr>
                <w:i/>
              </w:rPr>
              <w:t>regulating raise</w:t>
            </w:r>
            <w:r w:rsidR="009873FC" w:rsidRPr="00D938D7">
              <w:rPr>
                <w:i/>
              </w:rPr>
              <w:t xml:space="preserve"> service</w:t>
            </w:r>
            <w:r w:rsidR="009873FC" w:rsidRPr="00D938D7">
              <w:t>, negative for</w:t>
            </w:r>
            <w:r w:rsidR="00843355" w:rsidRPr="00D938D7">
              <w:t xml:space="preserve"> a </w:t>
            </w:r>
            <w:r w:rsidR="00843355" w:rsidRPr="00D938D7">
              <w:rPr>
                <w:i/>
              </w:rPr>
              <w:t>regulating lower</w:t>
            </w:r>
            <w:r w:rsidR="009873FC" w:rsidRPr="00D938D7">
              <w:rPr>
                <w:i/>
              </w:rPr>
              <w:t xml:space="preserve"> service</w:t>
            </w:r>
            <w:r w:rsidR="00843355" w:rsidRPr="00D938D7">
              <w:t>)</w:t>
            </w:r>
            <w:r w:rsidRPr="00D938D7">
              <w:t>.</w:t>
            </w:r>
          </w:p>
          <w:p w14:paraId="633A9D73"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This value is capped and has positive and negative limits of +/- 1560.</w:t>
            </w:r>
          </w:p>
          <w:p w14:paraId="5AB7382A" w14:textId="72E07376"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It </w:t>
            </w:r>
            <w:r w:rsidR="002864B3" w:rsidRPr="00D938D7">
              <w:t>can be</w:t>
            </w:r>
            <w:r w:rsidR="00954595" w:rsidRPr="00D938D7">
              <w:t xml:space="preserve"> </w:t>
            </w:r>
            <w:r w:rsidRPr="00D938D7">
              <w:t>calculated by summing</w:t>
            </w:r>
            <w:r w:rsidR="002864B3" w:rsidRPr="00D938D7">
              <w:t xml:space="preserve"> the published</w:t>
            </w:r>
            <w:r w:rsidRPr="00D938D7">
              <w:t xml:space="preserve"> GenRegComp_MW values in the</w:t>
            </w:r>
            <w:r w:rsidR="002864B3" w:rsidRPr="00D938D7">
              <w:t xml:space="preserve"> area</w:t>
            </w:r>
            <w:r w:rsidR="00954595" w:rsidRPr="00D938D7">
              <w:t>.</w:t>
            </w:r>
          </w:p>
        </w:tc>
      </w:tr>
      <w:tr w:rsidR="00D938D7" w:rsidRPr="00D938D7" w14:paraId="2424C085"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2E349A6" w14:textId="77777777" w:rsidR="00DD59E4" w:rsidRPr="00D938D7" w:rsidRDefault="00DD59E4" w:rsidP="00C43A06">
            <w:pPr>
              <w:pStyle w:val="TableText"/>
              <w:rPr>
                <w:b w:val="0"/>
                <w:color w:val="auto"/>
              </w:rPr>
            </w:pPr>
            <w:r w:rsidRPr="00D938D7">
              <w:rPr>
                <w:b w:val="0"/>
                <w:color w:val="auto"/>
              </w:rPr>
              <w:t>G</w:t>
            </w:r>
          </w:p>
        </w:tc>
        <w:tc>
          <w:tcPr>
            <w:tcW w:w="6894" w:type="dxa"/>
            <w:shd w:val="pct5" w:color="auto" w:fill="auto"/>
          </w:tcPr>
          <w:p w14:paraId="348D19D5" w14:textId="0978442C"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Measured </w:t>
            </w:r>
            <w:r w:rsidRPr="00D938D7">
              <w:rPr>
                <w:i/>
              </w:rPr>
              <w:t>generating unit</w:t>
            </w:r>
            <w:r w:rsidRPr="00D938D7">
              <w:t xml:space="preserve"> </w:t>
            </w:r>
            <w:r w:rsidR="00843355" w:rsidRPr="00D938D7">
              <w:t>output</w:t>
            </w:r>
          </w:p>
        </w:tc>
      </w:tr>
      <w:tr w:rsidR="00D938D7" w:rsidRPr="00D938D7" w14:paraId="6649C925"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0FA7460" w14:textId="77777777" w:rsidR="00DD59E4" w:rsidRPr="00D938D7" w:rsidRDefault="00DD59E4" w:rsidP="00C43A06">
            <w:pPr>
              <w:pStyle w:val="TableText"/>
              <w:rPr>
                <w:b w:val="0"/>
                <w:color w:val="auto"/>
              </w:rPr>
            </w:pPr>
            <w:r w:rsidRPr="00D938D7">
              <w:rPr>
                <w:b w:val="0"/>
                <w:color w:val="auto"/>
              </w:rPr>
              <w:t>GB</w:t>
            </w:r>
          </w:p>
        </w:tc>
        <w:tc>
          <w:tcPr>
            <w:tcW w:w="6894" w:type="dxa"/>
            <w:shd w:val="pct5" w:color="auto" w:fill="auto"/>
          </w:tcPr>
          <w:p w14:paraId="134F5A59"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rPr>
                <w:i/>
              </w:rPr>
              <w:t>Generation</w:t>
            </w:r>
            <w:r w:rsidRPr="00D938D7">
              <w:t xml:space="preserve"> at </w:t>
            </w:r>
            <w:r w:rsidRPr="00D938D7">
              <w:rPr>
                <w:i/>
              </w:rPr>
              <w:t>generating unit</w:t>
            </w:r>
            <w:r w:rsidRPr="00D938D7">
              <w:t xml:space="preserve"> terminals</w:t>
            </w:r>
          </w:p>
        </w:tc>
      </w:tr>
      <w:tr w:rsidR="00D938D7" w:rsidRPr="00D938D7" w14:paraId="7C056B5B"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F2E2B17" w14:textId="582C63D7" w:rsidR="002864B3" w:rsidRPr="00D938D7" w:rsidRDefault="002864B3" w:rsidP="00C43A06">
            <w:pPr>
              <w:pStyle w:val="TableText"/>
              <w:rPr>
                <w:b w:val="0"/>
                <w:color w:val="auto"/>
              </w:rPr>
            </w:pPr>
            <w:r w:rsidRPr="00D938D7">
              <w:rPr>
                <w:b w:val="0"/>
                <w:color w:val="auto"/>
              </w:rPr>
              <w:t>GenRegComp_MW</w:t>
            </w:r>
          </w:p>
        </w:tc>
        <w:tc>
          <w:tcPr>
            <w:tcW w:w="6894" w:type="dxa"/>
            <w:shd w:val="pct5" w:color="auto" w:fill="auto"/>
          </w:tcPr>
          <w:p w14:paraId="4937C821" w14:textId="50648D12" w:rsidR="002864B3" w:rsidRPr="00D938D7" w:rsidRDefault="002864B3" w:rsidP="002864B3">
            <w:pPr>
              <w:pStyle w:val="TableText"/>
              <w:cnfStyle w:val="000000010000" w:firstRow="0" w:lastRow="0" w:firstColumn="0" w:lastColumn="0" w:oddVBand="0" w:evenVBand="0" w:oddHBand="0" w:evenHBand="1" w:firstRowFirstColumn="0" w:firstRowLastColumn="0" w:lastRowFirstColumn="0" w:lastRowLastColumn="0"/>
            </w:pPr>
            <w:r w:rsidRPr="00D938D7">
              <w:t xml:space="preserve">The raw amount of </w:t>
            </w:r>
            <w:r w:rsidR="00954595" w:rsidRPr="00D938D7">
              <w:t>Regulation FCAS</w:t>
            </w:r>
            <w:r w:rsidRPr="00D938D7">
              <w:t xml:space="preserve"> allocated to </w:t>
            </w:r>
            <w:r w:rsidR="00954595" w:rsidRPr="00D938D7">
              <w:t xml:space="preserve">a </w:t>
            </w:r>
            <w:r w:rsidR="00954595" w:rsidRPr="00D938D7">
              <w:rPr>
                <w:i/>
              </w:rPr>
              <w:t>generating unit</w:t>
            </w:r>
            <w:r w:rsidRPr="00D938D7">
              <w:t xml:space="preserve"> by the AGC. This is later modified by the unit control model.  </w:t>
            </w:r>
          </w:p>
        </w:tc>
      </w:tr>
      <w:tr w:rsidR="00D938D7" w:rsidRPr="00D938D7" w14:paraId="3B0462BC"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7B66EDA" w14:textId="43D6FAA7" w:rsidR="00DD59E4" w:rsidRPr="00D938D7" w:rsidRDefault="00DD59E4" w:rsidP="00C43A06">
            <w:pPr>
              <w:pStyle w:val="TableText"/>
              <w:rPr>
                <w:b w:val="0"/>
                <w:color w:val="auto"/>
              </w:rPr>
            </w:pPr>
          </w:p>
        </w:tc>
        <w:tc>
          <w:tcPr>
            <w:tcW w:w="6894" w:type="dxa"/>
            <w:shd w:val="pct5" w:color="auto" w:fill="auto"/>
          </w:tcPr>
          <w:p w14:paraId="6CC775F0" w14:textId="295AB163"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i/>
              </w:rPr>
            </w:pPr>
          </w:p>
        </w:tc>
      </w:tr>
      <w:tr w:rsidR="00D938D7" w:rsidRPr="00D938D7" w14:paraId="0923FEBD"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24CAB87" w14:textId="06B27A97" w:rsidR="00DD59E4" w:rsidRPr="00D938D7" w:rsidRDefault="00DD59E4" w:rsidP="00C43A06">
            <w:pPr>
              <w:pStyle w:val="TableText"/>
              <w:rPr>
                <w:b w:val="0"/>
                <w:color w:val="auto"/>
              </w:rPr>
            </w:pPr>
          </w:p>
        </w:tc>
        <w:tc>
          <w:tcPr>
            <w:tcW w:w="6894" w:type="dxa"/>
            <w:shd w:val="pct5" w:color="auto" w:fill="auto"/>
          </w:tcPr>
          <w:p w14:paraId="425D1CBB" w14:textId="0975B112"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p>
        </w:tc>
      </w:tr>
      <w:tr w:rsidR="00D938D7" w:rsidRPr="00D938D7" w14:paraId="6B67A32F"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4F0531B" w14:textId="77777777" w:rsidR="00DD59E4" w:rsidRPr="00D938D7" w:rsidRDefault="00DD59E4" w:rsidP="00C43A06">
            <w:pPr>
              <w:pStyle w:val="TableText"/>
              <w:rPr>
                <w:b w:val="0"/>
                <w:color w:val="auto"/>
              </w:rPr>
            </w:pPr>
            <w:r w:rsidRPr="00D938D7">
              <w:rPr>
                <w:b w:val="0"/>
                <w:color w:val="auto"/>
              </w:rPr>
              <w:t>GSSL</w:t>
            </w:r>
          </w:p>
        </w:tc>
        <w:tc>
          <w:tcPr>
            <w:tcW w:w="6894" w:type="dxa"/>
            <w:shd w:val="pct5" w:color="auto" w:fill="auto"/>
          </w:tcPr>
          <w:p w14:paraId="52B1005C"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An equation/data source relating to </w:t>
            </w:r>
            <w:r w:rsidRPr="00D938D7">
              <w:rPr>
                <w:i/>
              </w:rPr>
              <w:t>semi-scheduled</w:t>
            </w:r>
            <w:r w:rsidRPr="00D938D7">
              <w:t xml:space="preserve"> </w:t>
            </w:r>
            <w:r w:rsidRPr="00D938D7">
              <w:rPr>
                <w:i/>
              </w:rPr>
              <w:t>generating units</w:t>
            </w:r>
            <w:r w:rsidRPr="00D938D7">
              <w:t xml:space="preserve"> </w:t>
            </w:r>
          </w:p>
        </w:tc>
      </w:tr>
      <w:tr w:rsidR="00D938D7" w:rsidRPr="00D938D7" w14:paraId="17AF5395"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01EC3325" w14:textId="77777777" w:rsidR="00DD59E4" w:rsidRPr="00D938D7" w:rsidRDefault="00DD59E4" w:rsidP="00C43A06">
            <w:pPr>
              <w:pStyle w:val="TableText"/>
              <w:rPr>
                <w:b w:val="0"/>
                <w:color w:val="auto"/>
              </w:rPr>
            </w:pPr>
            <w:r w:rsidRPr="00D938D7">
              <w:rPr>
                <w:b w:val="0"/>
                <w:color w:val="auto"/>
              </w:rPr>
              <w:t>IL</w:t>
            </w:r>
          </w:p>
        </w:tc>
        <w:tc>
          <w:tcPr>
            <w:tcW w:w="6894" w:type="dxa"/>
            <w:shd w:val="pct5" w:color="auto" w:fill="auto"/>
          </w:tcPr>
          <w:p w14:paraId="5D72C9A9"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5-minute </w:t>
            </w:r>
            <w:r w:rsidRPr="00D938D7">
              <w:rPr>
                <w:i/>
              </w:rPr>
              <w:t>interconnector</w:t>
            </w:r>
            <w:r w:rsidRPr="00D938D7">
              <w:t xml:space="preserve"> loss</w:t>
            </w:r>
          </w:p>
        </w:tc>
      </w:tr>
      <w:tr w:rsidR="00D938D7" w:rsidRPr="00D938D7" w14:paraId="5D647D6F"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C2636EC" w14:textId="77777777" w:rsidR="00DD59E4" w:rsidRPr="00D938D7" w:rsidRDefault="00DD59E4" w:rsidP="00C43A06">
            <w:pPr>
              <w:pStyle w:val="TableText"/>
              <w:rPr>
                <w:b w:val="0"/>
                <w:color w:val="auto"/>
              </w:rPr>
            </w:pPr>
            <w:r w:rsidRPr="00D938D7">
              <w:rPr>
                <w:b w:val="0"/>
                <w:color w:val="auto"/>
              </w:rPr>
              <w:t>IRE</w:t>
            </w:r>
          </w:p>
        </w:tc>
        <w:tc>
          <w:tcPr>
            <w:tcW w:w="6894" w:type="dxa"/>
            <w:shd w:val="pct5" w:color="auto" w:fill="auto"/>
          </w:tcPr>
          <w:p w14:paraId="2115D3A1"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rPr>
                <w:i/>
              </w:rPr>
              <w:t>Inter-regional</w:t>
            </w:r>
            <w:r w:rsidRPr="00D938D7">
              <w:t xml:space="preserve"> export, measured at </w:t>
            </w:r>
            <w:r w:rsidRPr="00D938D7">
              <w:rPr>
                <w:i/>
              </w:rPr>
              <w:t>region</w:t>
            </w:r>
            <w:r w:rsidRPr="00D938D7">
              <w:t xml:space="preserve"> boundary</w:t>
            </w:r>
          </w:p>
        </w:tc>
      </w:tr>
      <w:tr w:rsidR="00D938D7" w:rsidRPr="00D938D7" w14:paraId="039FF145"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32D0322" w14:textId="77777777" w:rsidR="00DD59E4" w:rsidRPr="00D938D7" w:rsidRDefault="00DD59E4" w:rsidP="00C43A06">
            <w:pPr>
              <w:pStyle w:val="TableText"/>
              <w:rPr>
                <w:b w:val="0"/>
                <w:color w:val="auto"/>
              </w:rPr>
            </w:pPr>
            <w:r w:rsidRPr="00D938D7">
              <w:rPr>
                <w:b w:val="0"/>
                <w:color w:val="auto"/>
              </w:rPr>
              <w:lastRenderedPageBreak/>
              <w:t>IREB</w:t>
            </w:r>
          </w:p>
        </w:tc>
        <w:tc>
          <w:tcPr>
            <w:tcW w:w="6894" w:type="dxa"/>
            <w:shd w:val="pct5" w:color="auto" w:fill="auto"/>
          </w:tcPr>
          <w:p w14:paraId="20DE1A34"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Base </w:t>
            </w:r>
            <w:r w:rsidRPr="00D938D7">
              <w:rPr>
                <w:i/>
              </w:rPr>
              <w:t>inter-regional</w:t>
            </w:r>
            <w:r w:rsidRPr="00D938D7">
              <w:t xml:space="preserve"> flow measured at RRN</w:t>
            </w:r>
          </w:p>
        </w:tc>
      </w:tr>
      <w:tr w:rsidR="00D938D7" w:rsidRPr="00D938D7" w14:paraId="09241FDF"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29F79645" w14:textId="0316A263" w:rsidR="00DD59E4" w:rsidRPr="00D938D7" w:rsidRDefault="00DD59E4" w:rsidP="00C43A06">
            <w:pPr>
              <w:pStyle w:val="TableText"/>
              <w:rPr>
                <w:b w:val="0"/>
                <w:color w:val="auto"/>
              </w:rPr>
            </w:pPr>
          </w:p>
        </w:tc>
        <w:tc>
          <w:tcPr>
            <w:tcW w:w="6894" w:type="dxa"/>
            <w:shd w:val="pct5" w:color="auto" w:fill="auto"/>
          </w:tcPr>
          <w:p w14:paraId="1A4CA35E" w14:textId="019864AC"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p>
        </w:tc>
      </w:tr>
      <w:tr w:rsidR="00D938D7" w:rsidRPr="00D938D7" w14:paraId="078CE348"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9E775DE" w14:textId="77777777" w:rsidR="00DD59E4" w:rsidRPr="00D938D7" w:rsidRDefault="00DD59E4" w:rsidP="00C43A06">
            <w:pPr>
              <w:pStyle w:val="TableText"/>
              <w:rPr>
                <w:b w:val="0"/>
                <w:color w:val="auto"/>
              </w:rPr>
            </w:pPr>
            <w:r w:rsidRPr="00D938D7">
              <w:rPr>
                <w:b w:val="0"/>
                <w:color w:val="auto"/>
              </w:rPr>
              <w:t>IRL</w:t>
            </w:r>
          </w:p>
        </w:tc>
        <w:tc>
          <w:tcPr>
            <w:tcW w:w="6894" w:type="dxa"/>
            <w:shd w:val="pct5" w:color="auto" w:fill="auto"/>
          </w:tcPr>
          <w:p w14:paraId="4FA1A6E8"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rPr>
                <w:i/>
              </w:rPr>
              <w:t>Inter-regional</w:t>
            </w:r>
            <w:r w:rsidRPr="00D938D7">
              <w:t xml:space="preserve"> losses</w:t>
            </w:r>
          </w:p>
        </w:tc>
      </w:tr>
      <w:tr w:rsidR="00D938D7" w:rsidRPr="00D938D7" w14:paraId="20C61848"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2F80232" w14:textId="77777777" w:rsidR="00DD59E4" w:rsidRPr="00D938D7" w:rsidRDefault="00DD59E4" w:rsidP="00C43A06">
            <w:pPr>
              <w:pStyle w:val="TableText"/>
              <w:rPr>
                <w:b w:val="0"/>
                <w:color w:val="auto"/>
              </w:rPr>
            </w:pPr>
            <w:r w:rsidRPr="00D938D7">
              <w:rPr>
                <w:b w:val="0"/>
                <w:color w:val="auto"/>
              </w:rPr>
              <w:t>IRLB</w:t>
            </w:r>
          </w:p>
        </w:tc>
        <w:tc>
          <w:tcPr>
            <w:tcW w:w="6894" w:type="dxa"/>
            <w:shd w:val="pct5" w:color="auto" w:fill="auto"/>
          </w:tcPr>
          <w:p w14:paraId="3F79051E"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Base </w:t>
            </w:r>
            <w:r w:rsidRPr="00D938D7">
              <w:rPr>
                <w:i/>
              </w:rPr>
              <w:t>inter-regional</w:t>
            </w:r>
            <w:r w:rsidRPr="00D938D7">
              <w:t xml:space="preserve"> losses</w:t>
            </w:r>
          </w:p>
        </w:tc>
      </w:tr>
      <w:tr w:rsidR="00D938D7" w:rsidRPr="00D938D7" w14:paraId="0CF9B50D"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A9E4776" w14:textId="77777777" w:rsidR="00DD59E4" w:rsidRPr="00D938D7" w:rsidRDefault="00DD59E4" w:rsidP="00C43A06">
            <w:pPr>
              <w:pStyle w:val="TableText"/>
              <w:rPr>
                <w:b w:val="0"/>
                <w:color w:val="auto"/>
              </w:rPr>
            </w:pPr>
            <w:r w:rsidRPr="00D938D7">
              <w:rPr>
                <w:b w:val="0"/>
                <w:color w:val="auto"/>
              </w:rPr>
              <w:t>LEF</w:t>
            </w:r>
          </w:p>
        </w:tc>
        <w:tc>
          <w:tcPr>
            <w:tcW w:w="6894" w:type="dxa"/>
            <w:shd w:val="pct5" w:color="auto" w:fill="auto"/>
          </w:tcPr>
          <w:p w14:paraId="55287ABE" w14:textId="3F0B92A9"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Lower-enabled factor. Assigned to </w:t>
            </w:r>
            <w:r w:rsidRPr="00D938D7">
              <w:rPr>
                <w:i/>
              </w:rPr>
              <w:t>market</w:t>
            </w:r>
            <w:r w:rsidRPr="00D938D7">
              <w:t xml:space="preserve"> </w:t>
            </w:r>
            <w:r w:rsidRPr="00D938D7">
              <w:rPr>
                <w:i/>
              </w:rPr>
              <w:t>scheduled</w:t>
            </w:r>
            <w:r w:rsidRPr="00D938D7">
              <w:t xml:space="preserve"> </w:t>
            </w:r>
            <w:r w:rsidRPr="00D938D7">
              <w:rPr>
                <w:i/>
              </w:rPr>
              <w:t>generating units</w:t>
            </w:r>
            <w:r w:rsidRPr="00D938D7">
              <w:t xml:space="preserve"> or </w:t>
            </w:r>
            <w:r w:rsidR="00790D25" w:rsidRPr="00D938D7">
              <w:rPr>
                <w:i/>
              </w:rPr>
              <w:t xml:space="preserve">scheduled </w:t>
            </w:r>
            <w:r w:rsidRPr="00D938D7">
              <w:rPr>
                <w:i/>
              </w:rPr>
              <w:t>loads</w:t>
            </w:r>
            <w:r w:rsidRPr="00D938D7">
              <w:t xml:space="preserve"> that are </w:t>
            </w:r>
            <w:r w:rsidRPr="00D938D7">
              <w:rPr>
                <w:i/>
              </w:rPr>
              <w:t xml:space="preserve">enabled </w:t>
            </w:r>
            <w:r w:rsidRPr="00D938D7">
              <w:t xml:space="preserve">for </w:t>
            </w:r>
            <w:r w:rsidRPr="00D938D7">
              <w:rPr>
                <w:i/>
              </w:rPr>
              <w:t xml:space="preserve">regulating lower service </w:t>
            </w:r>
            <w:r w:rsidRPr="00D938D7">
              <w:t>(lower-enabled).</w:t>
            </w:r>
          </w:p>
        </w:tc>
      </w:tr>
      <w:tr w:rsidR="00D938D7" w:rsidRPr="00D938D7" w14:paraId="034E89D5"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2A36805" w14:textId="77777777" w:rsidR="00DD59E4" w:rsidRPr="00D938D7" w:rsidRDefault="00DD59E4" w:rsidP="00C43A06">
            <w:pPr>
              <w:pStyle w:val="TableText"/>
              <w:rPr>
                <w:b w:val="0"/>
                <w:color w:val="auto"/>
              </w:rPr>
            </w:pPr>
            <w:r w:rsidRPr="00D938D7">
              <w:rPr>
                <w:b w:val="0"/>
                <w:color w:val="auto"/>
              </w:rPr>
              <w:t>LNEF</w:t>
            </w:r>
          </w:p>
        </w:tc>
        <w:tc>
          <w:tcPr>
            <w:tcW w:w="6894" w:type="dxa"/>
            <w:shd w:val="pct5" w:color="auto" w:fill="auto"/>
          </w:tcPr>
          <w:p w14:paraId="2664C7B7" w14:textId="7E0BD3C2" w:rsidR="00DD59E4" w:rsidRPr="00D938D7" w:rsidRDefault="00DD59E4" w:rsidP="0083095A">
            <w:pPr>
              <w:pStyle w:val="TableText"/>
              <w:cnfStyle w:val="000000100000" w:firstRow="0" w:lastRow="0" w:firstColumn="0" w:lastColumn="0" w:oddVBand="0" w:evenVBand="0" w:oddHBand="1" w:evenHBand="0" w:firstRowFirstColumn="0" w:firstRowLastColumn="0" w:lastRowFirstColumn="0" w:lastRowLastColumn="0"/>
            </w:pPr>
            <w:r w:rsidRPr="00D938D7">
              <w:t xml:space="preserve">Lower non-enabled factor. Assigned to </w:t>
            </w:r>
            <w:r w:rsidR="002D48EC">
              <w:t xml:space="preserve">appropriately </w:t>
            </w:r>
            <w:r w:rsidRPr="00D938D7">
              <w:t>metered system components that either not lower-enabled or that cannot be lower-enabled.</w:t>
            </w:r>
          </w:p>
        </w:tc>
      </w:tr>
      <w:tr w:rsidR="00D938D7" w:rsidRPr="00D938D7" w14:paraId="01F4F3A9"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D6F0829" w14:textId="12B74C88" w:rsidR="00436DAB" w:rsidRPr="00D938D7" w:rsidRDefault="00436DAB" w:rsidP="00C43A06">
            <w:pPr>
              <w:pStyle w:val="TableText"/>
              <w:rPr>
                <w:b w:val="0"/>
                <w:color w:val="auto"/>
              </w:rPr>
            </w:pPr>
            <w:r w:rsidRPr="00D938D7">
              <w:rPr>
                <w:b w:val="0"/>
                <w:color w:val="auto"/>
              </w:rPr>
              <w:t>Mainland</w:t>
            </w:r>
          </w:p>
        </w:tc>
        <w:tc>
          <w:tcPr>
            <w:tcW w:w="6894" w:type="dxa"/>
            <w:shd w:val="pct5" w:color="auto" w:fill="auto"/>
          </w:tcPr>
          <w:p w14:paraId="3798F4D2" w14:textId="520710C8" w:rsidR="00436DAB" w:rsidRPr="00D938D7" w:rsidRDefault="00436DAB"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All </w:t>
            </w:r>
            <w:r w:rsidRPr="00D938D7">
              <w:rPr>
                <w:i/>
              </w:rPr>
              <w:t xml:space="preserve">regions </w:t>
            </w:r>
            <w:r w:rsidRPr="00D938D7">
              <w:t xml:space="preserve">of the </w:t>
            </w:r>
            <w:r w:rsidRPr="00D938D7">
              <w:rPr>
                <w:i/>
              </w:rPr>
              <w:t xml:space="preserve">NEM </w:t>
            </w:r>
            <w:r w:rsidRPr="00D938D7">
              <w:t>except Tasmania.</w:t>
            </w:r>
          </w:p>
        </w:tc>
      </w:tr>
      <w:tr w:rsidR="00D938D7" w:rsidRPr="00D938D7" w14:paraId="1D04E4EE"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70A5564" w14:textId="77777777" w:rsidR="00DD59E4" w:rsidRPr="00D938D7" w:rsidRDefault="00DD59E4" w:rsidP="00C43A06">
            <w:pPr>
              <w:pStyle w:val="TableText"/>
              <w:rPr>
                <w:b w:val="0"/>
                <w:color w:val="auto"/>
              </w:rPr>
            </w:pPr>
            <w:r w:rsidRPr="00D938D7">
              <w:rPr>
                <w:b w:val="0"/>
                <w:color w:val="auto"/>
              </w:rPr>
              <w:t>MLF</w:t>
            </w:r>
          </w:p>
        </w:tc>
        <w:tc>
          <w:tcPr>
            <w:tcW w:w="6894" w:type="dxa"/>
            <w:shd w:val="pct5" w:color="auto" w:fill="auto"/>
          </w:tcPr>
          <w:p w14:paraId="627AD331"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Marginal loss factor</w:t>
            </w:r>
          </w:p>
        </w:tc>
      </w:tr>
      <w:tr w:rsidR="00D938D7" w:rsidRPr="00D938D7" w14:paraId="0C94F80F"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FCF480A" w14:textId="77777777" w:rsidR="00DD59E4" w:rsidRPr="00D938D7" w:rsidRDefault="00DD59E4" w:rsidP="00C43A06">
            <w:pPr>
              <w:pStyle w:val="TableText"/>
              <w:rPr>
                <w:b w:val="0"/>
                <w:color w:val="auto"/>
              </w:rPr>
            </w:pPr>
            <w:r w:rsidRPr="00D938D7">
              <w:rPr>
                <w:b w:val="0"/>
                <w:color w:val="auto"/>
              </w:rPr>
              <w:t>MMS</w:t>
            </w:r>
          </w:p>
        </w:tc>
        <w:tc>
          <w:tcPr>
            <w:tcW w:w="6894" w:type="dxa"/>
            <w:shd w:val="pct5" w:color="auto" w:fill="auto"/>
          </w:tcPr>
          <w:p w14:paraId="2E0B8FB6"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AEMO’s Market Management System producing 5-minute </w:t>
            </w:r>
            <w:r w:rsidRPr="00D938D7">
              <w:rPr>
                <w:i/>
              </w:rPr>
              <w:t>market</w:t>
            </w:r>
            <w:r w:rsidRPr="00D938D7">
              <w:t xml:space="preserve"> </w:t>
            </w:r>
            <w:r w:rsidRPr="00D938D7">
              <w:rPr>
                <w:i/>
              </w:rPr>
              <w:t>dispatch</w:t>
            </w:r>
            <w:r w:rsidRPr="00D938D7">
              <w:t xml:space="preserve"> data.</w:t>
            </w:r>
          </w:p>
        </w:tc>
      </w:tr>
      <w:tr w:rsidR="00D938D7" w:rsidRPr="00D938D7" w14:paraId="16D23273"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5669779" w14:textId="383E0F1D" w:rsidR="00562CDF" w:rsidRPr="00D938D7" w:rsidRDefault="00805783" w:rsidP="00C43A06">
            <w:pPr>
              <w:pStyle w:val="TableText"/>
              <w:rPr>
                <w:b w:val="0"/>
                <w:color w:val="auto"/>
              </w:rPr>
            </w:pPr>
            <w:r w:rsidRPr="00D938D7">
              <w:rPr>
                <w:b w:val="0"/>
                <w:color w:val="auto"/>
              </w:rPr>
              <w:t>MPF</w:t>
            </w:r>
          </w:p>
        </w:tc>
        <w:tc>
          <w:tcPr>
            <w:tcW w:w="6894" w:type="dxa"/>
            <w:shd w:val="pct5" w:color="auto" w:fill="auto"/>
          </w:tcPr>
          <w:p w14:paraId="137C7C56" w14:textId="3CFCC105" w:rsidR="00B61F02" w:rsidRPr="00D938D7" w:rsidRDefault="00805783" w:rsidP="00C43A06">
            <w:pPr>
              <w:pStyle w:val="TableText"/>
              <w:cnfStyle w:val="000000100000" w:firstRow="0" w:lastRow="0" w:firstColumn="0" w:lastColumn="0" w:oddVBand="0" w:evenVBand="0" w:oddHBand="1" w:evenHBand="0" w:firstRowFirstColumn="0" w:firstRowLastColumn="0" w:lastRowFirstColumn="0" w:lastRowLastColumn="0"/>
            </w:pPr>
            <w:r w:rsidRPr="00D938D7">
              <w:t>M</w:t>
            </w:r>
            <w:r w:rsidR="00A91AC9" w:rsidRPr="00D938D7">
              <w:t>arket Participant f</w:t>
            </w:r>
            <w:r w:rsidRPr="00D938D7">
              <w:t xml:space="preserve">actor. A term used with an approporate descriptor </w:t>
            </w:r>
            <w:r w:rsidR="00B61F02" w:rsidRPr="00D938D7">
              <w:t xml:space="preserve">to describe, for a </w:t>
            </w:r>
            <w:r w:rsidR="00B61F02" w:rsidRPr="00D938D7">
              <w:rPr>
                <w:i/>
              </w:rPr>
              <w:t xml:space="preserve">Market Participant </w:t>
            </w:r>
            <w:r w:rsidR="00B61F02" w:rsidRPr="00D938D7">
              <w:t xml:space="preserve">or category of </w:t>
            </w:r>
            <w:r w:rsidR="00B61F02" w:rsidRPr="00D938D7">
              <w:rPr>
                <w:i/>
              </w:rPr>
              <w:t>Market Participants</w:t>
            </w:r>
            <w:r w:rsidR="00B61F02" w:rsidRPr="00D938D7">
              <w:t>:</w:t>
            </w:r>
          </w:p>
          <w:p w14:paraId="5DFE25D0" w14:textId="3CEE1671" w:rsidR="00B61F02" w:rsidRPr="00D938D7" w:rsidRDefault="00B61F02" w:rsidP="00B61F02">
            <w:pPr>
              <w:pStyle w:val="Lista"/>
              <w:ind w:left="445" w:hanging="425"/>
              <w:cnfStyle w:val="000000100000" w:firstRow="0" w:lastRow="0" w:firstColumn="0" w:lastColumn="0" w:oddVBand="0" w:evenVBand="0" w:oddHBand="1" w:evenHBand="0" w:firstRowFirstColumn="0" w:firstRowLastColumn="0" w:lastRowFirstColumn="0" w:lastRowLastColumn="0"/>
              <w:rPr>
                <w:sz w:val="18"/>
                <w:szCs w:val="18"/>
              </w:rPr>
            </w:pPr>
            <w:r w:rsidRPr="00D938D7">
              <w:rPr>
                <w:sz w:val="18"/>
                <w:szCs w:val="18"/>
              </w:rPr>
              <w:t>a Contribution Factor in respect of a specified portfolio</w:t>
            </w:r>
            <w:r w:rsidR="00A91AC9" w:rsidRPr="00D938D7">
              <w:rPr>
                <w:sz w:val="18"/>
                <w:szCs w:val="18"/>
              </w:rPr>
              <w:t xml:space="preserve"> (for appropriately metered </w:t>
            </w:r>
            <w:r w:rsidR="00A91AC9" w:rsidRPr="00D938D7">
              <w:rPr>
                <w:i/>
                <w:sz w:val="18"/>
                <w:szCs w:val="18"/>
              </w:rPr>
              <w:t xml:space="preserve">generation </w:t>
            </w:r>
            <w:r w:rsidR="00A91AC9" w:rsidRPr="00D938D7">
              <w:rPr>
                <w:sz w:val="18"/>
                <w:szCs w:val="18"/>
              </w:rPr>
              <w:t xml:space="preserve">and </w:t>
            </w:r>
            <w:r w:rsidR="00A91AC9" w:rsidRPr="00D938D7">
              <w:rPr>
                <w:i/>
                <w:sz w:val="18"/>
                <w:szCs w:val="18"/>
              </w:rPr>
              <w:t>load</w:t>
            </w:r>
            <w:r w:rsidR="00A91AC9" w:rsidRPr="00D938D7">
              <w:rPr>
                <w:sz w:val="18"/>
                <w:szCs w:val="18"/>
              </w:rPr>
              <w:t>)</w:t>
            </w:r>
            <w:r w:rsidRPr="00D938D7">
              <w:rPr>
                <w:sz w:val="18"/>
                <w:szCs w:val="18"/>
              </w:rPr>
              <w:t>, or residual demand</w:t>
            </w:r>
            <w:r w:rsidR="00A91AC9" w:rsidRPr="00D938D7">
              <w:rPr>
                <w:sz w:val="18"/>
                <w:szCs w:val="18"/>
              </w:rPr>
              <w:t>, being the final values of MPF applied in clause 3.15.6A(i) of the NER</w:t>
            </w:r>
            <w:r w:rsidRPr="00D938D7">
              <w:rPr>
                <w:sz w:val="18"/>
                <w:szCs w:val="18"/>
              </w:rPr>
              <w:t>; or</w:t>
            </w:r>
          </w:p>
          <w:p w14:paraId="2BCDF239" w14:textId="075F18A2" w:rsidR="00562CDF" w:rsidRPr="00D938D7" w:rsidRDefault="00B61F02" w:rsidP="00B61F02">
            <w:pPr>
              <w:pStyle w:val="Lista"/>
              <w:ind w:left="445" w:hanging="425"/>
              <w:cnfStyle w:val="000000100000" w:firstRow="0" w:lastRow="0" w:firstColumn="0" w:lastColumn="0" w:oddVBand="0" w:evenVBand="0" w:oddHBand="1" w:evenHBand="0" w:firstRowFirstColumn="0" w:firstRowLastColumn="0" w:lastRowFirstColumn="0" w:lastRowLastColumn="0"/>
              <w:rPr>
                <w:sz w:val="18"/>
                <w:szCs w:val="18"/>
              </w:rPr>
            </w:pPr>
            <w:r w:rsidRPr="00D938D7">
              <w:rPr>
                <w:sz w:val="18"/>
                <w:szCs w:val="18"/>
              </w:rPr>
              <w:t>an interim factor cal</w:t>
            </w:r>
            <w:r w:rsidR="00A91AC9" w:rsidRPr="00D938D7">
              <w:rPr>
                <w:sz w:val="18"/>
                <w:szCs w:val="18"/>
              </w:rPr>
              <w:t>culated as a step in determining those Contribution Factors.</w:t>
            </w:r>
            <w:r w:rsidRPr="00D938D7">
              <w:rPr>
                <w:sz w:val="18"/>
                <w:szCs w:val="18"/>
              </w:rPr>
              <w:t xml:space="preserve"> </w:t>
            </w:r>
          </w:p>
        </w:tc>
      </w:tr>
      <w:tr w:rsidR="00F717A4" w:rsidRPr="00D938D7" w14:paraId="5609EEE8" w14:textId="77777777" w:rsidTr="008B7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286020F" w14:textId="77777777" w:rsidR="00F717A4" w:rsidRPr="00037DAA" w:rsidDel="0001779A" w:rsidRDefault="00F717A4" w:rsidP="008B7804">
            <w:pPr>
              <w:pStyle w:val="TableText"/>
              <w:rPr>
                <w:b w:val="0"/>
                <w:color w:val="auto"/>
                <w:vertAlign w:val="subscript"/>
              </w:rPr>
            </w:pPr>
            <w:r w:rsidRPr="00037DAA">
              <w:rPr>
                <w:b w:val="0"/>
                <w:color w:val="auto"/>
              </w:rPr>
              <w:t>MPF</w:t>
            </w:r>
            <w:r w:rsidRPr="00037DAA">
              <w:rPr>
                <w:b w:val="0"/>
                <w:color w:val="auto"/>
                <w:vertAlign w:val="subscript"/>
              </w:rPr>
              <w:t>MNS</w:t>
            </w:r>
          </w:p>
        </w:tc>
        <w:tc>
          <w:tcPr>
            <w:tcW w:w="6894" w:type="dxa"/>
            <w:shd w:val="pct5" w:color="auto" w:fill="auto"/>
          </w:tcPr>
          <w:p w14:paraId="2A09D3AA" w14:textId="6A1C03F0" w:rsidR="00F717A4" w:rsidRPr="00D938D7" w:rsidRDefault="00F717A4" w:rsidP="008B7804">
            <w:pPr>
              <w:pStyle w:val="TableText"/>
              <w:cnfStyle w:val="000000010000" w:firstRow="0" w:lastRow="0" w:firstColumn="0" w:lastColumn="0" w:oddVBand="0" w:evenVBand="0" w:oddHBand="0" w:evenHBand="1" w:firstRowFirstColumn="0" w:firstRowLastColumn="0" w:lastRowFirstColumn="0" w:lastRowLastColumn="0"/>
            </w:pPr>
            <w:r w:rsidRPr="00D938D7">
              <w:t xml:space="preserve">Normalised </w:t>
            </w:r>
            <w:r>
              <w:t xml:space="preserve">NEM Contribution Factor calculated </w:t>
            </w:r>
            <w:r w:rsidRPr="00D938D7">
              <w:t xml:space="preserve">for each </w:t>
            </w:r>
            <w:r w:rsidRPr="00D938D7">
              <w:rPr>
                <w:i/>
              </w:rPr>
              <w:t>Market</w:t>
            </w:r>
            <w:r w:rsidRPr="00D938D7">
              <w:t xml:space="preserve"> </w:t>
            </w:r>
            <w:r>
              <w:rPr>
                <w:i/>
              </w:rPr>
              <w:t>Participant</w:t>
            </w:r>
            <w:r w:rsidRPr="00D938D7">
              <w:rPr>
                <w:i/>
              </w:rPr>
              <w:t xml:space="preserve"> </w:t>
            </w:r>
            <w:r>
              <w:t xml:space="preserve">in respect of its appropriately metered </w:t>
            </w:r>
            <w:r>
              <w:rPr>
                <w:i/>
              </w:rPr>
              <w:t xml:space="preserve">market </w:t>
            </w:r>
            <w:r w:rsidRPr="00D938D7">
              <w:rPr>
                <w:i/>
              </w:rPr>
              <w:t>non scheduled</w:t>
            </w:r>
            <w:r>
              <w:rPr>
                <w:i/>
              </w:rPr>
              <w:t xml:space="preserve"> generation </w:t>
            </w:r>
            <w:r>
              <w:t xml:space="preserve">and </w:t>
            </w:r>
            <w:r>
              <w:rPr>
                <w:i/>
              </w:rPr>
              <w:t>load</w:t>
            </w:r>
            <w:r w:rsidRPr="00D938D7">
              <w:rPr>
                <w:i/>
              </w:rPr>
              <w:t xml:space="preserve"> </w:t>
            </w:r>
            <w:r w:rsidRPr="00F717A4">
              <w:t>portfolio</w:t>
            </w:r>
            <w:r>
              <w:t>.</w:t>
            </w:r>
          </w:p>
        </w:tc>
      </w:tr>
      <w:tr w:rsidR="00D938D7" w:rsidRPr="00D938D7" w14:paraId="07C423B1"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3F49B55" w14:textId="1185224A" w:rsidR="00DD59E4" w:rsidRPr="00D938D7" w:rsidRDefault="00DD59E4" w:rsidP="00C43A06">
            <w:pPr>
              <w:pStyle w:val="TableText"/>
              <w:rPr>
                <w:b w:val="0"/>
                <w:color w:val="auto"/>
                <w:vertAlign w:val="subscript"/>
              </w:rPr>
            </w:pPr>
            <w:r w:rsidRPr="00D938D7">
              <w:rPr>
                <w:b w:val="0"/>
                <w:color w:val="auto"/>
              </w:rPr>
              <w:t>MPF</w:t>
            </w:r>
            <w:r w:rsidR="0001779A" w:rsidRPr="00D938D7">
              <w:rPr>
                <w:b w:val="0"/>
                <w:color w:val="auto"/>
                <w:vertAlign w:val="subscript"/>
              </w:rPr>
              <w:t>RES</w:t>
            </w:r>
          </w:p>
        </w:tc>
        <w:tc>
          <w:tcPr>
            <w:tcW w:w="6894" w:type="dxa"/>
            <w:shd w:val="pct5" w:color="auto" w:fill="auto"/>
          </w:tcPr>
          <w:p w14:paraId="09F7F023" w14:textId="40A61AF7" w:rsidR="00DD59E4" w:rsidRPr="00D938D7" w:rsidRDefault="00B33F88" w:rsidP="00C43A06">
            <w:pPr>
              <w:pStyle w:val="TableText"/>
              <w:cnfStyle w:val="000000100000" w:firstRow="0" w:lastRow="0" w:firstColumn="0" w:lastColumn="0" w:oddVBand="0" w:evenVBand="0" w:oddHBand="1" w:evenHBand="0" w:firstRowFirstColumn="0" w:firstRowLastColumn="0" w:lastRowFirstColumn="0" w:lastRowLastColumn="0"/>
            </w:pPr>
            <w:r>
              <w:t>Normalised NEM Contribution F</w:t>
            </w:r>
            <w:r w:rsidR="00DD59E4" w:rsidRPr="00D938D7">
              <w:t xml:space="preserve">actor </w:t>
            </w:r>
            <w:r w:rsidR="00F717A4">
              <w:t>calculated</w:t>
            </w:r>
            <w:r>
              <w:t xml:space="preserve"> for </w:t>
            </w:r>
            <w:r>
              <w:rPr>
                <w:i/>
              </w:rPr>
              <w:t xml:space="preserve">Market Customers </w:t>
            </w:r>
            <w:r>
              <w:t xml:space="preserve">in respect of  </w:t>
            </w:r>
            <w:r w:rsidR="00F717A4">
              <w:t>residual demand.</w:t>
            </w:r>
          </w:p>
        </w:tc>
      </w:tr>
      <w:tr w:rsidR="00F717A4" w:rsidRPr="00D938D7" w14:paraId="28323E06" w14:textId="77777777" w:rsidTr="008B7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3C9B7F8" w14:textId="77777777" w:rsidR="00F717A4" w:rsidRPr="00037DAA" w:rsidDel="0001779A" w:rsidRDefault="00F717A4" w:rsidP="008B7804">
            <w:pPr>
              <w:pStyle w:val="TableText"/>
              <w:rPr>
                <w:b w:val="0"/>
                <w:color w:val="auto"/>
                <w:vertAlign w:val="subscript"/>
              </w:rPr>
            </w:pPr>
            <w:r w:rsidRPr="00037DAA">
              <w:rPr>
                <w:b w:val="0"/>
                <w:color w:val="auto"/>
              </w:rPr>
              <w:t>MPF</w:t>
            </w:r>
            <w:r w:rsidRPr="00037DAA">
              <w:rPr>
                <w:b w:val="0"/>
                <w:color w:val="auto"/>
                <w:vertAlign w:val="subscript"/>
              </w:rPr>
              <w:t>SSS</w:t>
            </w:r>
          </w:p>
        </w:tc>
        <w:tc>
          <w:tcPr>
            <w:tcW w:w="6894" w:type="dxa"/>
            <w:shd w:val="pct5" w:color="auto" w:fill="auto"/>
          </w:tcPr>
          <w:p w14:paraId="7CA38500" w14:textId="33A07B45" w:rsidR="00F717A4" w:rsidRPr="00B33F88" w:rsidRDefault="00F717A4" w:rsidP="008B7804">
            <w:pPr>
              <w:pStyle w:val="TableText"/>
              <w:cnfStyle w:val="000000010000" w:firstRow="0" w:lastRow="0" w:firstColumn="0" w:lastColumn="0" w:oddVBand="0" w:evenVBand="0" w:oddHBand="0" w:evenHBand="1" w:firstRowFirstColumn="0" w:firstRowLastColumn="0" w:lastRowFirstColumn="0" w:lastRowLastColumn="0"/>
            </w:pPr>
            <w:r w:rsidRPr="00D938D7">
              <w:t xml:space="preserve">Normalised </w:t>
            </w:r>
            <w:r>
              <w:t>NEM Contribution Factor</w:t>
            </w:r>
            <w:r w:rsidRPr="00D938D7">
              <w:t xml:space="preserve"> </w:t>
            </w:r>
            <w:r>
              <w:t xml:space="preserve">calculated </w:t>
            </w:r>
            <w:r w:rsidRPr="00D938D7">
              <w:t xml:space="preserve">for each </w:t>
            </w:r>
            <w:r w:rsidRPr="00D938D7">
              <w:rPr>
                <w:i/>
              </w:rPr>
              <w:t>Market</w:t>
            </w:r>
            <w:r w:rsidRPr="00D938D7">
              <w:t xml:space="preserve"> </w:t>
            </w:r>
            <w:r>
              <w:rPr>
                <w:i/>
              </w:rPr>
              <w:t>Participant</w:t>
            </w:r>
            <w:r w:rsidRPr="00D938D7">
              <w:rPr>
                <w:i/>
              </w:rPr>
              <w:t xml:space="preserve"> </w:t>
            </w:r>
            <w:r>
              <w:t xml:space="preserve">in respect of its portfolio of </w:t>
            </w:r>
            <w:r w:rsidRPr="00D938D7">
              <w:rPr>
                <w:i/>
              </w:rPr>
              <w:t xml:space="preserve">scheduled </w:t>
            </w:r>
            <w:r>
              <w:t xml:space="preserve">and </w:t>
            </w:r>
            <w:r w:rsidRPr="00D938D7">
              <w:rPr>
                <w:i/>
              </w:rPr>
              <w:t>semi</w:t>
            </w:r>
            <w:r>
              <w:rPr>
                <w:i/>
              </w:rPr>
              <w:t>-</w:t>
            </w:r>
            <w:r w:rsidRPr="00D938D7">
              <w:rPr>
                <w:i/>
              </w:rPr>
              <w:t>sch</w:t>
            </w:r>
            <w:r>
              <w:rPr>
                <w:i/>
              </w:rPr>
              <w:t>e</w:t>
            </w:r>
            <w:r w:rsidRPr="00D938D7">
              <w:rPr>
                <w:i/>
              </w:rPr>
              <w:t xml:space="preserve">duled </w:t>
            </w:r>
            <w:r>
              <w:rPr>
                <w:i/>
              </w:rPr>
              <w:t xml:space="preserve">generation </w:t>
            </w:r>
            <w:r>
              <w:t xml:space="preserve">and </w:t>
            </w:r>
            <w:r>
              <w:rPr>
                <w:i/>
              </w:rPr>
              <w:t>scheduled load</w:t>
            </w:r>
            <w:r>
              <w:t>.</w:t>
            </w:r>
            <w:r>
              <w:rPr>
                <w:i/>
              </w:rPr>
              <w:t xml:space="preserve"> </w:t>
            </w:r>
          </w:p>
        </w:tc>
      </w:tr>
      <w:tr w:rsidR="00D938D7" w:rsidRPr="00D938D7" w14:paraId="2364C343"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09406EE" w14:textId="77777777" w:rsidR="00DD59E4" w:rsidRPr="00D938D7" w:rsidRDefault="00DD59E4" w:rsidP="00C43A06">
            <w:pPr>
              <w:pStyle w:val="TableText"/>
              <w:rPr>
                <w:b w:val="0"/>
                <w:color w:val="auto"/>
              </w:rPr>
            </w:pPr>
            <w:r w:rsidRPr="00D938D7">
              <w:rPr>
                <w:b w:val="0"/>
                <w:color w:val="auto"/>
              </w:rPr>
              <w:t>MW</w:t>
            </w:r>
          </w:p>
        </w:tc>
        <w:tc>
          <w:tcPr>
            <w:tcW w:w="6894" w:type="dxa"/>
            <w:shd w:val="pct5" w:color="auto" w:fill="auto"/>
          </w:tcPr>
          <w:p w14:paraId="09DAA125"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Megawatt</w:t>
            </w:r>
          </w:p>
        </w:tc>
      </w:tr>
      <w:tr w:rsidR="00D938D7" w:rsidRPr="00D938D7" w14:paraId="63DC3322"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BA3AB5E" w14:textId="77777777" w:rsidR="00DD59E4" w:rsidRPr="00D938D7" w:rsidRDefault="00DD59E4" w:rsidP="00C43A06">
            <w:pPr>
              <w:pStyle w:val="TableText"/>
              <w:rPr>
                <w:b w:val="0"/>
                <w:color w:val="auto"/>
              </w:rPr>
            </w:pPr>
            <w:r w:rsidRPr="00D938D7">
              <w:rPr>
                <w:b w:val="0"/>
                <w:color w:val="auto"/>
              </w:rPr>
              <w:t>MWh</w:t>
            </w:r>
          </w:p>
        </w:tc>
        <w:tc>
          <w:tcPr>
            <w:tcW w:w="6894" w:type="dxa"/>
            <w:shd w:val="pct5" w:color="auto" w:fill="auto"/>
          </w:tcPr>
          <w:p w14:paraId="00F220AD"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Megawatt hours</w:t>
            </w:r>
          </w:p>
        </w:tc>
      </w:tr>
      <w:tr w:rsidR="00D938D7" w:rsidRPr="00D938D7" w14:paraId="0164FDC0"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1A29897" w14:textId="77777777" w:rsidR="00DD59E4" w:rsidRPr="00D938D7" w:rsidRDefault="00DD59E4" w:rsidP="00C43A06">
            <w:pPr>
              <w:pStyle w:val="TableText"/>
              <w:rPr>
                <w:b w:val="0"/>
                <w:color w:val="auto"/>
              </w:rPr>
            </w:pPr>
            <w:r w:rsidRPr="00D938D7">
              <w:rPr>
                <w:b w:val="0"/>
                <w:color w:val="auto"/>
              </w:rPr>
              <w:t>N</w:t>
            </w:r>
          </w:p>
        </w:tc>
        <w:tc>
          <w:tcPr>
            <w:tcW w:w="6894" w:type="dxa"/>
            <w:shd w:val="pct5" w:color="auto" w:fill="auto"/>
          </w:tcPr>
          <w:p w14:paraId="25C493C0"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DI index</w:t>
            </w:r>
          </w:p>
        </w:tc>
      </w:tr>
      <w:tr w:rsidR="008B7804" w:rsidRPr="00D938D7" w14:paraId="0C865891"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E758F61" w14:textId="5D632735" w:rsidR="008B7804" w:rsidRPr="00D938D7" w:rsidRDefault="008B7804" w:rsidP="00C43A06">
            <w:pPr>
              <w:pStyle w:val="TableText"/>
              <w:rPr>
                <w:b w:val="0"/>
              </w:rPr>
            </w:pPr>
            <w:r w:rsidRPr="008B7804">
              <w:rPr>
                <w:b w:val="0"/>
                <w:color w:val="auto"/>
              </w:rPr>
              <w:t>NEMDE</w:t>
            </w:r>
          </w:p>
        </w:tc>
        <w:tc>
          <w:tcPr>
            <w:tcW w:w="6894" w:type="dxa"/>
            <w:shd w:val="pct5" w:color="auto" w:fill="auto"/>
          </w:tcPr>
          <w:p w14:paraId="3F0A630A" w14:textId="41BC09A7" w:rsidR="008B7804" w:rsidRPr="008B7804" w:rsidRDefault="008B7804" w:rsidP="00C43A06">
            <w:pPr>
              <w:pStyle w:val="TableText"/>
              <w:cnfStyle w:val="000000010000" w:firstRow="0" w:lastRow="0" w:firstColumn="0" w:lastColumn="0" w:oddVBand="0" w:evenVBand="0" w:oddHBand="0" w:evenHBand="1" w:firstRowFirstColumn="0" w:firstRowLastColumn="0" w:lastRowFirstColumn="0" w:lastRowLastColumn="0"/>
            </w:pPr>
            <w:r>
              <w:rPr>
                <w:i/>
              </w:rPr>
              <w:t xml:space="preserve">NEM </w:t>
            </w:r>
            <w:r>
              <w:t>dispatch engine</w:t>
            </w:r>
          </w:p>
        </w:tc>
      </w:tr>
      <w:tr w:rsidR="00D938D7" w:rsidRPr="00D938D7" w14:paraId="47946820"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A676FCA" w14:textId="77777777" w:rsidR="00DD59E4" w:rsidRPr="00D938D7" w:rsidRDefault="00DD59E4" w:rsidP="00C43A06">
            <w:pPr>
              <w:pStyle w:val="TableText"/>
              <w:rPr>
                <w:b w:val="0"/>
                <w:color w:val="auto"/>
              </w:rPr>
            </w:pPr>
            <w:r w:rsidRPr="00D938D7">
              <w:rPr>
                <w:b w:val="0"/>
                <w:color w:val="auto"/>
              </w:rPr>
              <w:t>NER</w:t>
            </w:r>
          </w:p>
        </w:tc>
        <w:tc>
          <w:tcPr>
            <w:tcW w:w="6894" w:type="dxa"/>
            <w:shd w:val="pct5" w:color="auto" w:fill="auto"/>
          </w:tcPr>
          <w:p w14:paraId="0D386557"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National Electricity Rules</w:t>
            </w:r>
          </w:p>
        </w:tc>
      </w:tr>
      <w:tr w:rsidR="00D938D7" w:rsidRPr="00D938D7" w14:paraId="233151D4"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236B6796" w14:textId="77777777" w:rsidR="00DD59E4" w:rsidRPr="00D938D7" w:rsidRDefault="00DD59E4" w:rsidP="00C43A06">
            <w:pPr>
              <w:pStyle w:val="TableText"/>
              <w:rPr>
                <w:b w:val="0"/>
                <w:color w:val="auto"/>
              </w:rPr>
            </w:pPr>
            <w:r w:rsidRPr="00D938D7">
              <w:rPr>
                <w:b w:val="0"/>
                <w:color w:val="auto"/>
              </w:rPr>
              <w:t>NI</w:t>
            </w:r>
          </w:p>
        </w:tc>
        <w:tc>
          <w:tcPr>
            <w:tcW w:w="6894" w:type="dxa"/>
            <w:shd w:val="pct5" w:color="auto" w:fill="auto"/>
          </w:tcPr>
          <w:p w14:paraId="6A719A17"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5-minute </w:t>
            </w:r>
            <w:r w:rsidRPr="00D938D7">
              <w:rPr>
                <w:i/>
              </w:rPr>
              <w:t>regional</w:t>
            </w:r>
            <w:r w:rsidRPr="00D938D7">
              <w:t xml:space="preserve"> net interchange (includes losses)</w:t>
            </w:r>
          </w:p>
        </w:tc>
      </w:tr>
      <w:tr w:rsidR="00D938D7" w:rsidRPr="00D938D7" w14:paraId="3D644378"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036A9E33" w14:textId="77777777" w:rsidR="00DD59E4" w:rsidRPr="00D938D7" w:rsidRDefault="00DD59E4" w:rsidP="00C43A06">
            <w:pPr>
              <w:pStyle w:val="TableText"/>
              <w:rPr>
                <w:b w:val="0"/>
                <w:color w:val="auto"/>
              </w:rPr>
            </w:pPr>
            <w:r w:rsidRPr="00D938D7">
              <w:rPr>
                <w:b w:val="0"/>
                <w:color w:val="auto"/>
              </w:rPr>
              <w:t>Non-scheduled generation forecast</w:t>
            </w:r>
          </w:p>
        </w:tc>
        <w:tc>
          <w:tcPr>
            <w:tcW w:w="6894" w:type="dxa"/>
            <w:shd w:val="pct5" w:color="auto" w:fill="auto"/>
          </w:tcPr>
          <w:p w14:paraId="2C43BADC"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A forecast of </w:t>
            </w:r>
            <w:r w:rsidRPr="00D938D7">
              <w:rPr>
                <w:i/>
              </w:rPr>
              <w:t>non-scheduled</w:t>
            </w:r>
            <w:r w:rsidRPr="00D938D7">
              <w:t xml:space="preserve"> </w:t>
            </w:r>
            <w:r w:rsidRPr="00D938D7">
              <w:rPr>
                <w:i/>
              </w:rPr>
              <w:t>generation</w:t>
            </w:r>
            <w:r w:rsidRPr="00D938D7">
              <w:t xml:space="preserve"> over a 5-minute period</w:t>
            </w:r>
          </w:p>
        </w:tc>
      </w:tr>
      <w:tr w:rsidR="00D938D7" w:rsidRPr="00D938D7" w14:paraId="47517F04"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4A7D1940" w14:textId="77777777" w:rsidR="00DD59E4" w:rsidRPr="00D938D7" w:rsidRDefault="00DD59E4" w:rsidP="00C43A06">
            <w:pPr>
              <w:pStyle w:val="TableText"/>
              <w:rPr>
                <w:b w:val="0"/>
                <w:color w:val="auto"/>
              </w:rPr>
            </w:pPr>
            <w:r w:rsidRPr="00D938D7">
              <w:rPr>
                <w:b w:val="0"/>
                <w:color w:val="auto"/>
              </w:rPr>
              <w:t>Residual</w:t>
            </w:r>
          </w:p>
        </w:tc>
        <w:tc>
          <w:tcPr>
            <w:tcW w:w="6894" w:type="dxa"/>
            <w:shd w:val="pct5" w:color="auto" w:fill="auto"/>
          </w:tcPr>
          <w:p w14:paraId="3C3E911B"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The percentage of costs assigned to </w:t>
            </w:r>
            <w:r w:rsidRPr="00D938D7">
              <w:rPr>
                <w:i/>
              </w:rPr>
              <w:t>Market Customers</w:t>
            </w:r>
            <w:r w:rsidRPr="00D938D7">
              <w:t xml:space="preserve"> that do not have an MPFi Contribution Factor calculated for them.</w:t>
            </w:r>
          </w:p>
        </w:tc>
      </w:tr>
      <w:tr w:rsidR="00D938D7" w:rsidRPr="00D938D7" w14:paraId="045DF3AE"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D6B7545" w14:textId="4F7B9A4C" w:rsidR="00ED17E3" w:rsidRPr="00886AC4" w:rsidRDefault="00ED17E3" w:rsidP="00C43A06">
            <w:pPr>
              <w:pStyle w:val="TableText"/>
              <w:rPr>
                <w:b w:val="0"/>
                <w:color w:val="auto"/>
              </w:rPr>
            </w:pPr>
            <w:r w:rsidRPr="00886AC4">
              <w:rPr>
                <w:b w:val="0"/>
                <w:color w:val="auto"/>
              </w:rPr>
              <w:t>Residual demand</w:t>
            </w:r>
          </w:p>
        </w:tc>
        <w:tc>
          <w:tcPr>
            <w:tcW w:w="6894" w:type="dxa"/>
            <w:shd w:val="pct5" w:color="auto" w:fill="auto"/>
          </w:tcPr>
          <w:p w14:paraId="1E7EDFD7" w14:textId="3C0B88B0" w:rsidR="00ED17E3" w:rsidRPr="00D938D7" w:rsidRDefault="00ED17E3"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Net demand from </w:t>
            </w:r>
            <w:r w:rsidRPr="0086079F">
              <w:rPr>
                <w:i/>
              </w:rPr>
              <w:t>gener</w:t>
            </w:r>
            <w:r w:rsidR="0086079F" w:rsidRPr="0086079F">
              <w:rPr>
                <w:i/>
              </w:rPr>
              <w:t>atio</w:t>
            </w:r>
            <w:r w:rsidR="0086079F">
              <w:t xml:space="preserve">n </w:t>
            </w:r>
            <w:r w:rsidRPr="00D938D7">
              <w:t>and load w</w:t>
            </w:r>
            <w:r w:rsidR="00BE4DB0">
              <w:t>ithout appropriate metering.</w:t>
            </w:r>
          </w:p>
        </w:tc>
      </w:tr>
      <w:tr w:rsidR="00D938D7" w:rsidRPr="00D938D7" w14:paraId="3C0EB3B8"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C829DDD" w14:textId="77777777" w:rsidR="00DD59E4" w:rsidRPr="00D938D7" w:rsidRDefault="00DD59E4" w:rsidP="00C43A06">
            <w:pPr>
              <w:pStyle w:val="TableText"/>
              <w:rPr>
                <w:b w:val="0"/>
                <w:color w:val="auto"/>
              </w:rPr>
            </w:pPr>
            <w:r w:rsidRPr="00D938D7">
              <w:rPr>
                <w:b w:val="0"/>
                <w:color w:val="auto"/>
              </w:rPr>
              <w:t>REF</w:t>
            </w:r>
          </w:p>
        </w:tc>
        <w:tc>
          <w:tcPr>
            <w:tcW w:w="6894" w:type="dxa"/>
            <w:shd w:val="pct5" w:color="auto" w:fill="auto"/>
          </w:tcPr>
          <w:p w14:paraId="59EEDFDB" w14:textId="4D8F7306"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Raise-enabled factor. Assigned to </w:t>
            </w:r>
            <w:r w:rsidRPr="00D938D7">
              <w:rPr>
                <w:i/>
              </w:rPr>
              <w:t>market scheduled generating units</w:t>
            </w:r>
            <w:r w:rsidRPr="00D938D7">
              <w:t xml:space="preserve"> or</w:t>
            </w:r>
            <w:r w:rsidR="00790D25" w:rsidRPr="00D938D7">
              <w:t xml:space="preserve"> </w:t>
            </w:r>
            <w:r w:rsidR="00790D25" w:rsidRPr="00D938D7">
              <w:rPr>
                <w:i/>
              </w:rPr>
              <w:t>scheduled</w:t>
            </w:r>
            <w:r w:rsidRPr="00D938D7">
              <w:t xml:space="preserve"> </w:t>
            </w:r>
            <w:r w:rsidRPr="00D938D7">
              <w:rPr>
                <w:i/>
              </w:rPr>
              <w:t>loads</w:t>
            </w:r>
            <w:r w:rsidRPr="00D938D7">
              <w:t xml:space="preserve"> that are </w:t>
            </w:r>
            <w:r w:rsidRPr="00D938D7">
              <w:rPr>
                <w:i/>
              </w:rPr>
              <w:t xml:space="preserve">enabled </w:t>
            </w:r>
            <w:r w:rsidRPr="00D938D7">
              <w:t xml:space="preserve">for </w:t>
            </w:r>
            <w:r w:rsidRPr="00D938D7">
              <w:rPr>
                <w:i/>
              </w:rPr>
              <w:t xml:space="preserve">regulating raise service </w:t>
            </w:r>
            <w:r w:rsidRPr="00D938D7">
              <w:t>(raise-enabled).</w:t>
            </w:r>
          </w:p>
        </w:tc>
      </w:tr>
      <w:tr w:rsidR="00D938D7" w:rsidRPr="00D938D7" w14:paraId="6AF291FD"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B11678C" w14:textId="77777777" w:rsidR="00DD59E4" w:rsidRPr="00D938D7" w:rsidRDefault="00DD59E4" w:rsidP="00C43A06">
            <w:pPr>
              <w:pStyle w:val="TableText"/>
              <w:rPr>
                <w:b w:val="0"/>
                <w:color w:val="auto"/>
              </w:rPr>
            </w:pPr>
            <w:r w:rsidRPr="00D938D7">
              <w:rPr>
                <w:b w:val="0"/>
                <w:color w:val="auto"/>
              </w:rPr>
              <w:t>RNEF</w:t>
            </w:r>
          </w:p>
        </w:tc>
        <w:tc>
          <w:tcPr>
            <w:tcW w:w="6894" w:type="dxa"/>
            <w:shd w:val="pct5" w:color="auto" w:fill="auto"/>
          </w:tcPr>
          <w:p w14:paraId="05BE2733" w14:textId="1827DC83"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Raise non-enabled factor. Assigned to</w:t>
            </w:r>
            <w:r w:rsidR="00790D25" w:rsidRPr="00D938D7">
              <w:t xml:space="preserve"> appropriately</w:t>
            </w:r>
            <w:r w:rsidRPr="00D938D7">
              <w:t xml:space="preserve"> metered system components that either are not raise-enabled or that cannot be raise-enabled.</w:t>
            </w:r>
          </w:p>
        </w:tc>
      </w:tr>
      <w:tr w:rsidR="00D225ED" w:rsidRPr="00D938D7" w14:paraId="6E8D733B" w14:textId="77777777" w:rsidTr="00D2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FFFFFF" w:themeColor="background1"/>
              <w:bottom w:val="single" w:sz="8" w:space="0" w:color="FFFFFF" w:themeColor="background1"/>
            </w:tcBorders>
            <w:shd w:val="pct5" w:color="auto" w:fill="auto"/>
          </w:tcPr>
          <w:p w14:paraId="6F28F7BE" w14:textId="4E5AC558" w:rsidR="00D225ED" w:rsidRPr="00D938D7" w:rsidRDefault="00D225ED" w:rsidP="00D225ED">
            <w:pPr>
              <w:pStyle w:val="TableText"/>
              <w:rPr>
                <w:rFonts w:ascii="Arial" w:hAnsi="Arial" w:cs="Arial"/>
                <w:b w:val="0"/>
                <w:color w:val="auto"/>
              </w:rPr>
            </w:pPr>
            <w:r>
              <w:rPr>
                <w:rFonts w:ascii="Arial" w:hAnsi="Arial" w:cs="Arial"/>
                <w:b w:val="0"/>
                <w:color w:val="auto"/>
              </w:rPr>
              <w:t>Reference Trajectory</w:t>
            </w:r>
          </w:p>
        </w:tc>
        <w:tc>
          <w:tcPr>
            <w:tcW w:w="6894" w:type="dxa"/>
            <w:tcBorders>
              <w:top w:val="single" w:sz="8" w:space="0" w:color="FFFFFF" w:themeColor="background1"/>
              <w:bottom w:val="single" w:sz="8" w:space="0" w:color="FFFFFF" w:themeColor="background1"/>
            </w:tcBorders>
            <w:shd w:val="pct5" w:color="auto" w:fill="auto"/>
          </w:tcPr>
          <w:p w14:paraId="11B52D09" w14:textId="77777777" w:rsidR="00D225ED" w:rsidRPr="00D938D7" w:rsidRDefault="00D225ED" w:rsidP="00D225E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D938D7">
              <w:rPr>
                <w:rFonts w:ascii="Arial" w:hAnsi="Arial" w:cs="Arial"/>
              </w:rPr>
              <w:t xml:space="preserve">A pre-determined trajectory for a </w:t>
            </w:r>
            <w:r w:rsidRPr="00D938D7">
              <w:rPr>
                <w:rFonts w:ascii="Arial" w:hAnsi="Arial" w:cs="Arial"/>
                <w:i/>
              </w:rPr>
              <w:t>scheduled generating unit</w:t>
            </w:r>
            <w:r w:rsidRPr="00D938D7">
              <w:rPr>
                <w:rFonts w:ascii="Arial" w:hAnsi="Arial" w:cs="Arial"/>
              </w:rPr>
              <w:t xml:space="preserve">, or a forecast for a </w:t>
            </w:r>
            <w:r w:rsidRPr="00D938D7">
              <w:rPr>
                <w:rFonts w:ascii="Arial" w:hAnsi="Arial" w:cs="Arial"/>
                <w:i/>
              </w:rPr>
              <w:t xml:space="preserve">semi-scheduled generating unit </w:t>
            </w:r>
            <w:r w:rsidRPr="00D938D7">
              <w:rPr>
                <w:rFonts w:ascii="Arial" w:hAnsi="Arial" w:cs="Arial"/>
              </w:rPr>
              <w:t xml:space="preserve">or a </w:t>
            </w:r>
            <w:r w:rsidRPr="00D938D7">
              <w:rPr>
                <w:rFonts w:ascii="Arial" w:hAnsi="Arial" w:cs="Arial"/>
                <w:i/>
              </w:rPr>
              <w:t>non-scheduled generating unit</w:t>
            </w:r>
            <w:r w:rsidRPr="00D938D7">
              <w:rPr>
                <w:rFonts w:ascii="Arial" w:hAnsi="Arial" w:cs="Arial"/>
              </w:rPr>
              <w:t>.</w:t>
            </w:r>
          </w:p>
        </w:tc>
      </w:tr>
      <w:tr w:rsidR="00D225ED" w:rsidRPr="00D938D7" w14:paraId="285D7F67"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000C42B" w14:textId="77777777" w:rsidR="00D225ED" w:rsidRPr="00D938D7" w:rsidRDefault="00D225ED" w:rsidP="00C43A06">
            <w:pPr>
              <w:pStyle w:val="TableText"/>
            </w:pPr>
          </w:p>
        </w:tc>
        <w:tc>
          <w:tcPr>
            <w:tcW w:w="6894" w:type="dxa"/>
            <w:shd w:val="pct5" w:color="auto" w:fill="auto"/>
          </w:tcPr>
          <w:p w14:paraId="08726A1D" w14:textId="77777777" w:rsidR="00D225ED" w:rsidRPr="00D938D7" w:rsidRDefault="00D225ED" w:rsidP="00C43A06">
            <w:pPr>
              <w:pStyle w:val="TableText"/>
              <w:cnfStyle w:val="000000100000" w:firstRow="0" w:lastRow="0" w:firstColumn="0" w:lastColumn="0" w:oddVBand="0" w:evenVBand="0" w:oddHBand="1" w:evenHBand="0" w:firstRowFirstColumn="0" w:firstRowLastColumn="0" w:lastRowFirstColumn="0" w:lastRowLastColumn="0"/>
            </w:pPr>
          </w:p>
        </w:tc>
      </w:tr>
      <w:tr w:rsidR="00D938D7" w:rsidRPr="00D938D7" w14:paraId="7CB9FAFC"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6D7752B" w14:textId="77777777" w:rsidR="00DD59E4" w:rsidRPr="00D938D7" w:rsidRDefault="00DD59E4" w:rsidP="00C43A06">
            <w:pPr>
              <w:pStyle w:val="TableText"/>
              <w:rPr>
                <w:b w:val="0"/>
                <w:color w:val="auto"/>
              </w:rPr>
            </w:pPr>
            <w:r w:rsidRPr="00D938D7">
              <w:rPr>
                <w:b w:val="0"/>
                <w:color w:val="auto"/>
              </w:rPr>
              <w:t>Region demand forecast error</w:t>
            </w:r>
          </w:p>
        </w:tc>
        <w:tc>
          <w:tcPr>
            <w:tcW w:w="6894" w:type="dxa"/>
            <w:shd w:val="pct5" w:color="auto" w:fill="auto"/>
          </w:tcPr>
          <w:p w14:paraId="42B6DFF1"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Base demand at </w:t>
            </w:r>
            <w:r w:rsidRPr="00D938D7">
              <w:rPr>
                <w:i/>
              </w:rPr>
              <w:t>generating unit</w:t>
            </w:r>
            <w:r w:rsidRPr="00D938D7">
              <w:t xml:space="preserve"> terminals minus the ex-post demand calculated as a 5-minute least-squares best-fit straight line through the measured values of the </w:t>
            </w:r>
            <w:r w:rsidRPr="00D938D7">
              <w:rPr>
                <w:i/>
              </w:rPr>
              <w:t>regional</w:t>
            </w:r>
            <w:r w:rsidRPr="00D938D7">
              <w:t xml:space="preserve"> demand measured at </w:t>
            </w:r>
            <w:r w:rsidRPr="00D938D7">
              <w:rPr>
                <w:i/>
              </w:rPr>
              <w:t>generating unit</w:t>
            </w:r>
            <w:r w:rsidRPr="00D938D7">
              <w:t xml:space="preserve"> terminals.</w:t>
            </w:r>
          </w:p>
        </w:tc>
      </w:tr>
      <w:tr w:rsidR="00D938D7" w:rsidRPr="00D938D7" w14:paraId="3C4180EB"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05DE9EF8" w14:textId="77777777" w:rsidR="00DD59E4" w:rsidRPr="00D938D7" w:rsidRDefault="00DD59E4" w:rsidP="00C43A06">
            <w:pPr>
              <w:pStyle w:val="TableText"/>
              <w:rPr>
                <w:b w:val="0"/>
                <w:color w:val="auto"/>
              </w:rPr>
            </w:pPr>
            <w:r w:rsidRPr="00D938D7">
              <w:rPr>
                <w:b w:val="0"/>
                <w:color w:val="auto"/>
              </w:rPr>
              <w:t>Regulation FCAS</w:t>
            </w:r>
          </w:p>
        </w:tc>
        <w:tc>
          <w:tcPr>
            <w:tcW w:w="6894" w:type="dxa"/>
            <w:shd w:val="pct5" w:color="auto" w:fill="auto"/>
          </w:tcPr>
          <w:p w14:paraId="488548AA"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rPr>
                <w:i/>
              </w:rPr>
              <w:t>Regulating lower service</w:t>
            </w:r>
            <w:r w:rsidRPr="00D938D7">
              <w:t xml:space="preserve"> and </w:t>
            </w:r>
            <w:r w:rsidRPr="00D938D7">
              <w:rPr>
                <w:i/>
              </w:rPr>
              <w:t xml:space="preserve">regulating raise service </w:t>
            </w:r>
            <w:r w:rsidRPr="00D938D7">
              <w:t xml:space="preserve">(the same meaning as </w:t>
            </w:r>
            <w:r w:rsidRPr="00D938D7">
              <w:rPr>
                <w:i/>
              </w:rPr>
              <w:t xml:space="preserve">regulation services </w:t>
            </w:r>
            <w:r w:rsidRPr="00D938D7">
              <w:t>in the NER).</w:t>
            </w:r>
          </w:p>
        </w:tc>
      </w:tr>
      <w:tr w:rsidR="00D938D7" w:rsidRPr="00D938D7" w14:paraId="21496BFD"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7FB8513" w14:textId="77777777" w:rsidR="00DD59E4" w:rsidRPr="00D938D7" w:rsidRDefault="00DD59E4" w:rsidP="00C43A06">
            <w:pPr>
              <w:pStyle w:val="TableText"/>
              <w:rPr>
                <w:b w:val="0"/>
                <w:color w:val="auto"/>
              </w:rPr>
            </w:pPr>
            <w:r w:rsidRPr="00D938D7">
              <w:rPr>
                <w:b w:val="0"/>
                <w:color w:val="auto"/>
              </w:rPr>
              <w:lastRenderedPageBreak/>
              <w:t>RAMPF</w:t>
            </w:r>
          </w:p>
        </w:tc>
        <w:tc>
          <w:tcPr>
            <w:tcW w:w="6894" w:type="dxa"/>
            <w:shd w:val="pct5" w:color="auto" w:fill="auto"/>
          </w:tcPr>
          <w:p w14:paraId="472CEB3D" w14:textId="21CB016D"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rPr>
                <w:lang w:eastAsia="en-AU"/>
              </w:rPr>
              <w:t xml:space="preserve">Regional Aggregate Market Particpation Factor (see </w:t>
            </w:r>
            <w:r w:rsidRPr="00B13D62">
              <w:rPr>
                <w:lang w:eastAsia="en-AU"/>
              </w:rPr>
              <w:t xml:space="preserve">clause </w:t>
            </w:r>
            <w:r w:rsidR="0083095A" w:rsidRPr="00B13D62">
              <w:rPr>
                <w:rFonts w:ascii="Arial" w:hAnsi="Arial" w:cs="Arial"/>
              </w:rPr>
              <w:fldChar w:fldCharType="begin"/>
            </w:r>
            <w:r w:rsidR="0083095A" w:rsidRPr="00B13D62">
              <w:rPr>
                <w:rFonts w:ascii="Arial" w:hAnsi="Arial" w:cs="Arial"/>
              </w:rPr>
              <w:instrText xml:space="preserve"> REF _Ref506870066 \r \h </w:instrText>
            </w:r>
            <w:r w:rsidR="00B13D62">
              <w:rPr>
                <w:rFonts w:ascii="Arial" w:hAnsi="Arial" w:cs="Arial"/>
              </w:rPr>
              <w:instrText xml:space="preserve"> \* MERGEFORMAT </w:instrText>
            </w:r>
            <w:r w:rsidR="0083095A" w:rsidRPr="00B13D62">
              <w:rPr>
                <w:rFonts w:ascii="Arial" w:hAnsi="Arial" w:cs="Arial"/>
              </w:rPr>
            </w:r>
            <w:r w:rsidR="0083095A" w:rsidRPr="00B13D62">
              <w:rPr>
                <w:rFonts w:ascii="Arial" w:hAnsi="Arial" w:cs="Arial"/>
              </w:rPr>
              <w:fldChar w:fldCharType="separate"/>
            </w:r>
            <w:r w:rsidR="003E2BF7">
              <w:rPr>
                <w:rFonts w:ascii="Arial" w:hAnsi="Arial" w:cs="Arial"/>
              </w:rPr>
              <w:t>8.3</w:t>
            </w:r>
            <w:r w:rsidR="0083095A" w:rsidRPr="00B13D62">
              <w:rPr>
                <w:rFonts w:ascii="Arial" w:hAnsi="Arial" w:cs="Arial"/>
              </w:rPr>
              <w:fldChar w:fldCharType="end"/>
            </w:r>
            <w:r w:rsidRPr="00B13D62">
              <w:rPr>
                <w:lang w:eastAsia="en-AU"/>
              </w:rPr>
              <w:t>)</w:t>
            </w:r>
          </w:p>
        </w:tc>
      </w:tr>
      <w:tr w:rsidR="00D938D7" w:rsidRPr="00D938D7" w14:paraId="07E2B528"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8C080CF" w14:textId="77777777" w:rsidR="00DD59E4" w:rsidRPr="00D938D7" w:rsidRDefault="00DD59E4" w:rsidP="00C43A06">
            <w:pPr>
              <w:pStyle w:val="TableText"/>
              <w:rPr>
                <w:b w:val="0"/>
                <w:color w:val="auto"/>
              </w:rPr>
            </w:pPr>
            <w:r w:rsidRPr="00D938D7">
              <w:rPr>
                <w:b w:val="0"/>
                <w:color w:val="auto"/>
              </w:rPr>
              <w:t>RR</w:t>
            </w:r>
          </w:p>
        </w:tc>
        <w:tc>
          <w:tcPr>
            <w:tcW w:w="6894" w:type="dxa"/>
            <w:shd w:val="pct5" w:color="auto" w:fill="auto"/>
          </w:tcPr>
          <w:p w14:paraId="2C1A4C02"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Regulating requirement</w:t>
            </w:r>
          </w:p>
        </w:tc>
      </w:tr>
      <w:tr w:rsidR="00D938D7" w:rsidRPr="00D938D7" w14:paraId="00C33C24"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F4C7D80" w14:textId="77777777" w:rsidR="00DD59E4" w:rsidRPr="00D938D7" w:rsidRDefault="00DD59E4" w:rsidP="00C43A06">
            <w:pPr>
              <w:pStyle w:val="TableText"/>
              <w:rPr>
                <w:b w:val="0"/>
                <w:color w:val="auto"/>
              </w:rPr>
            </w:pPr>
            <w:r w:rsidRPr="00D938D7">
              <w:rPr>
                <w:b w:val="0"/>
                <w:color w:val="auto"/>
              </w:rPr>
              <w:t>RRN</w:t>
            </w:r>
          </w:p>
        </w:tc>
        <w:tc>
          <w:tcPr>
            <w:tcW w:w="6894" w:type="dxa"/>
            <w:shd w:val="pct5" w:color="auto" w:fill="auto"/>
          </w:tcPr>
          <w:p w14:paraId="5477534B"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rPr>
                <w:i/>
              </w:rPr>
              <w:t>Regional</w:t>
            </w:r>
            <w:r w:rsidRPr="00D938D7">
              <w:t xml:space="preserve"> reference node</w:t>
            </w:r>
          </w:p>
        </w:tc>
      </w:tr>
      <w:tr w:rsidR="00D938D7" w:rsidRPr="00D938D7" w14:paraId="40E08839"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5CE6E706" w14:textId="77777777" w:rsidR="00DD59E4" w:rsidRPr="00D938D7" w:rsidRDefault="00DD59E4" w:rsidP="00C43A06">
            <w:pPr>
              <w:pStyle w:val="TableText"/>
              <w:rPr>
                <w:b w:val="0"/>
                <w:color w:val="auto"/>
              </w:rPr>
            </w:pPr>
            <w:r w:rsidRPr="00D938D7">
              <w:rPr>
                <w:b w:val="0"/>
                <w:color w:val="auto"/>
              </w:rPr>
              <w:t>RSPD</w:t>
            </w:r>
          </w:p>
        </w:tc>
        <w:tc>
          <w:tcPr>
            <w:tcW w:w="6894" w:type="dxa"/>
            <w:shd w:val="pct5" w:color="auto" w:fill="auto"/>
          </w:tcPr>
          <w:p w14:paraId="2139C8FE"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The </w:t>
            </w:r>
            <w:r w:rsidRPr="00D938D7">
              <w:rPr>
                <w:i/>
              </w:rPr>
              <w:t>power system</w:t>
            </w:r>
            <w:r w:rsidRPr="00D938D7">
              <w:t xml:space="preserve"> demand for a </w:t>
            </w:r>
            <w:r w:rsidRPr="00D938D7">
              <w:rPr>
                <w:i/>
              </w:rPr>
              <w:t>region</w:t>
            </w:r>
            <w:r w:rsidRPr="00D938D7">
              <w:t xml:space="preserve"> averaged over the sample period as determined by the EMS.</w:t>
            </w:r>
          </w:p>
        </w:tc>
      </w:tr>
      <w:tr w:rsidR="00D938D7" w:rsidRPr="00D938D7" w14:paraId="6EEC11F5"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11A64222" w14:textId="77777777" w:rsidR="00DD59E4" w:rsidRPr="00D938D7" w:rsidRDefault="00DD59E4" w:rsidP="00C43A06">
            <w:pPr>
              <w:pStyle w:val="TableText"/>
              <w:rPr>
                <w:b w:val="0"/>
                <w:color w:val="auto"/>
              </w:rPr>
            </w:pPr>
            <w:r w:rsidRPr="00D938D7">
              <w:rPr>
                <w:b w:val="0"/>
                <w:color w:val="auto"/>
              </w:rPr>
              <w:t>settlement factor</w:t>
            </w:r>
          </w:p>
        </w:tc>
        <w:tc>
          <w:tcPr>
            <w:tcW w:w="6894" w:type="dxa"/>
            <w:shd w:val="pct5" w:color="auto" w:fill="auto"/>
          </w:tcPr>
          <w:p w14:paraId="3243D26B"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Factor calculated over the settlement period</w:t>
            </w:r>
          </w:p>
        </w:tc>
      </w:tr>
      <w:tr w:rsidR="00D938D7" w:rsidRPr="00D938D7" w14:paraId="4C5152B6"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179E1F5" w14:textId="77777777" w:rsidR="00DD59E4" w:rsidRPr="00D938D7" w:rsidRDefault="00DD59E4" w:rsidP="00C43A06">
            <w:pPr>
              <w:pStyle w:val="TableText"/>
              <w:rPr>
                <w:b w:val="0"/>
                <w:color w:val="auto"/>
              </w:rPr>
            </w:pPr>
            <w:r w:rsidRPr="00D938D7">
              <w:rPr>
                <w:b w:val="0"/>
                <w:color w:val="auto"/>
              </w:rPr>
              <w:t>system component</w:t>
            </w:r>
          </w:p>
        </w:tc>
        <w:tc>
          <w:tcPr>
            <w:tcW w:w="6894" w:type="dxa"/>
            <w:shd w:val="pct5" w:color="auto" w:fill="auto"/>
          </w:tcPr>
          <w:p w14:paraId="6BDE5AE1"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 xml:space="preserve">Any part of the </w:t>
            </w:r>
            <w:r w:rsidRPr="00D938D7">
              <w:rPr>
                <w:i/>
              </w:rPr>
              <w:t>power system</w:t>
            </w:r>
            <w:r w:rsidRPr="00D938D7">
              <w:t xml:space="preserve"> that is not a </w:t>
            </w:r>
            <w:r w:rsidRPr="00D938D7">
              <w:rPr>
                <w:i/>
              </w:rPr>
              <w:t>generating unit</w:t>
            </w:r>
            <w:r w:rsidRPr="00D938D7">
              <w:t xml:space="preserve">, for instance an </w:t>
            </w:r>
            <w:r w:rsidRPr="00D938D7">
              <w:rPr>
                <w:i/>
              </w:rPr>
              <w:t>interconnector</w:t>
            </w:r>
            <w:r w:rsidRPr="00D938D7">
              <w:t xml:space="preserve"> or </w:t>
            </w:r>
            <w:r w:rsidRPr="00D938D7">
              <w:rPr>
                <w:i/>
              </w:rPr>
              <w:t>region</w:t>
            </w:r>
            <w:r w:rsidRPr="00D938D7">
              <w:t>.</w:t>
            </w:r>
          </w:p>
        </w:tc>
      </w:tr>
      <w:tr w:rsidR="00D938D7" w:rsidRPr="00D938D7" w14:paraId="7C08E056"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6DEFC63" w14:textId="77777777" w:rsidR="00DD59E4" w:rsidRPr="00D938D7" w:rsidRDefault="00DD59E4" w:rsidP="00C43A06">
            <w:pPr>
              <w:pStyle w:val="TableText"/>
              <w:rPr>
                <w:b w:val="0"/>
                <w:color w:val="auto"/>
              </w:rPr>
            </w:pPr>
            <w:r w:rsidRPr="00D938D7">
              <w:rPr>
                <w:b w:val="0"/>
                <w:color w:val="auto"/>
              </w:rPr>
              <w:t>SCADA</w:t>
            </w:r>
          </w:p>
        </w:tc>
        <w:tc>
          <w:tcPr>
            <w:tcW w:w="6894" w:type="dxa"/>
            <w:shd w:val="pct5" w:color="auto" w:fill="auto"/>
          </w:tcPr>
          <w:p w14:paraId="13854DDD"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Supervisory control and data acquisition system.</w:t>
            </w:r>
          </w:p>
        </w:tc>
      </w:tr>
      <w:tr w:rsidR="00D938D7" w:rsidRPr="00D938D7" w14:paraId="195A83A0"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B934743" w14:textId="77777777" w:rsidR="00DD59E4" w:rsidRPr="00D938D7" w:rsidRDefault="00DD59E4" w:rsidP="00C43A06">
            <w:pPr>
              <w:pStyle w:val="TableText"/>
              <w:rPr>
                <w:b w:val="0"/>
                <w:color w:val="auto"/>
              </w:rPr>
            </w:pPr>
            <w:r w:rsidRPr="00D938D7">
              <w:rPr>
                <w:b w:val="0"/>
                <w:color w:val="auto"/>
              </w:rPr>
              <w:t>T</w:t>
            </w:r>
          </w:p>
        </w:tc>
        <w:tc>
          <w:tcPr>
            <w:tcW w:w="6894" w:type="dxa"/>
            <w:shd w:val="pct5" w:color="auto" w:fill="auto"/>
          </w:tcPr>
          <w:p w14:paraId="5C21D7A4"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r w:rsidRPr="00D938D7">
              <w:t>4-second time</w:t>
            </w:r>
          </w:p>
        </w:tc>
      </w:tr>
      <w:tr w:rsidR="00D938D7" w:rsidRPr="00D938D7" w14:paraId="59385A92"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730B281A" w14:textId="5A201401" w:rsidR="00DD59E4" w:rsidRPr="00D938D7" w:rsidRDefault="00DD59E4" w:rsidP="00C43A06">
            <w:pPr>
              <w:pStyle w:val="TableText"/>
              <w:rPr>
                <w:b w:val="0"/>
                <w:color w:val="auto"/>
              </w:rPr>
            </w:pPr>
          </w:p>
        </w:tc>
        <w:tc>
          <w:tcPr>
            <w:tcW w:w="6894" w:type="dxa"/>
            <w:shd w:val="pct5" w:color="auto" w:fill="auto"/>
          </w:tcPr>
          <w:p w14:paraId="0E0E64A9" w14:textId="1BAC513E"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p>
        </w:tc>
      </w:tr>
      <w:tr w:rsidR="00D938D7" w:rsidRPr="00D938D7" w14:paraId="67E0F924"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61F76F33" w14:textId="3CB57A0F" w:rsidR="00DD59E4" w:rsidRPr="00D938D7" w:rsidRDefault="00DD59E4" w:rsidP="00C43A06">
            <w:pPr>
              <w:pStyle w:val="TableText"/>
              <w:rPr>
                <w:b w:val="0"/>
                <w:color w:val="auto"/>
              </w:rPr>
            </w:pPr>
          </w:p>
        </w:tc>
        <w:tc>
          <w:tcPr>
            <w:tcW w:w="6894" w:type="dxa"/>
            <w:shd w:val="pct5" w:color="auto" w:fill="auto"/>
          </w:tcPr>
          <w:p w14:paraId="6C71E166" w14:textId="5A8DB3E5"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pPr>
          </w:p>
        </w:tc>
      </w:tr>
      <w:tr w:rsidR="00D938D7" w:rsidRPr="00D938D7" w14:paraId="29B11768" w14:textId="77777777" w:rsidTr="00805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CC2DA48" w14:textId="77777777" w:rsidR="00DD59E4" w:rsidRPr="00D938D7" w:rsidRDefault="00DD59E4" w:rsidP="00C43A06">
            <w:pPr>
              <w:pStyle w:val="TableText"/>
              <w:rPr>
                <w:b w:val="0"/>
                <w:color w:val="auto"/>
              </w:rPr>
            </w:pPr>
            <w:r w:rsidRPr="00D938D7">
              <w:rPr>
                <w:b w:val="0"/>
                <w:color w:val="auto"/>
              </w:rPr>
              <w:t>TPSD</w:t>
            </w:r>
          </w:p>
        </w:tc>
        <w:tc>
          <w:tcPr>
            <w:tcW w:w="6894" w:type="dxa"/>
            <w:shd w:val="pct5" w:color="auto" w:fill="auto"/>
          </w:tcPr>
          <w:p w14:paraId="1A3CCDD5" w14:textId="77777777" w:rsidR="00DD59E4" w:rsidRPr="00D938D7" w:rsidRDefault="00DD59E4" w:rsidP="00C43A06">
            <w:pPr>
              <w:pStyle w:val="TableText"/>
              <w:cnfStyle w:val="000000010000" w:firstRow="0" w:lastRow="0" w:firstColumn="0" w:lastColumn="0" w:oddVBand="0" w:evenVBand="0" w:oddHBand="0" w:evenHBand="1" w:firstRowFirstColumn="0" w:firstRowLastColumn="0" w:lastRowFirstColumn="0" w:lastRowLastColumn="0"/>
            </w:pPr>
            <w:r w:rsidRPr="00D938D7">
              <w:t xml:space="preserve">The total </w:t>
            </w:r>
            <w:r w:rsidRPr="00D938D7">
              <w:rPr>
                <w:i/>
              </w:rPr>
              <w:t>power system</w:t>
            </w:r>
            <w:r w:rsidRPr="00D938D7">
              <w:t xml:space="preserve"> demand averaged over the sample period as determined by EMS</w:t>
            </w:r>
          </w:p>
        </w:tc>
      </w:tr>
      <w:tr w:rsidR="00D938D7" w:rsidRPr="00D938D7" w14:paraId="27CACBB5" w14:textId="77777777" w:rsidTr="0080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pct5" w:color="auto" w:fill="auto"/>
          </w:tcPr>
          <w:p w14:paraId="339CD947" w14:textId="77777777" w:rsidR="00DD59E4" w:rsidRPr="00D938D7" w:rsidRDefault="00DD59E4" w:rsidP="00C43A06">
            <w:pPr>
              <w:pStyle w:val="TableText"/>
              <w:rPr>
                <w:b w:val="0"/>
                <w:color w:val="auto"/>
              </w:rPr>
            </w:pPr>
            <w:r w:rsidRPr="00D938D7">
              <w:rPr>
                <w:b w:val="0"/>
                <w:color w:val="auto"/>
              </w:rPr>
              <w:t>TI</w:t>
            </w:r>
          </w:p>
        </w:tc>
        <w:tc>
          <w:tcPr>
            <w:tcW w:w="6894" w:type="dxa"/>
            <w:shd w:val="pct5" w:color="auto" w:fill="auto"/>
          </w:tcPr>
          <w:p w14:paraId="23484D50" w14:textId="77777777" w:rsidR="00DD59E4" w:rsidRPr="00D938D7" w:rsidRDefault="00DD59E4" w:rsidP="00C43A06">
            <w:pPr>
              <w:pStyle w:val="TableText"/>
              <w:cnfStyle w:val="000000100000" w:firstRow="0" w:lastRow="0" w:firstColumn="0" w:lastColumn="0" w:oddVBand="0" w:evenVBand="0" w:oddHBand="1" w:evenHBand="0" w:firstRowFirstColumn="0" w:firstRowLastColumn="0" w:lastRowFirstColumn="0" w:lastRowLastColumn="0"/>
              <w:rPr>
                <w:i/>
              </w:rPr>
            </w:pPr>
            <w:r w:rsidRPr="00D938D7">
              <w:rPr>
                <w:i/>
              </w:rPr>
              <w:t xml:space="preserve">trading interval </w:t>
            </w:r>
          </w:p>
        </w:tc>
      </w:tr>
    </w:tbl>
    <w:p w14:paraId="094EDB92" w14:textId="77777777" w:rsidR="005537C0" w:rsidRDefault="005537C0" w:rsidP="0019250F">
      <w:pPr>
        <w:pStyle w:val="TableFootnote"/>
      </w:pPr>
    </w:p>
    <w:p w14:paraId="314A30C7" w14:textId="77777777" w:rsidR="00F37294" w:rsidRDefault="00F37294" w:rsidP="00126592">
      <w:pPr>
        <w:pStyle w:val="Heading3"/>
      </w:pPr>
      <w:r>
        <w:t>Interpretation</w:t>
      </w:r>
    </w:p>
    <w:p w14:paraId="063E19BD" w14:textId="77777777" w:rsidR="00F37294" w:rsidRDefault="00F37294" w:rsidP="005C3539">
      <w:pPr>
        <w:pStyle w:val="TxtFlw0"/>
      </w:pPr>
      <w:r>
        <w:t xml:space="preserve">The following principles of interpretation apply to these Procedures unless otherwise expressly indicated: </w:t>
      </w:r>
    </w:p>
    <w:p w14:paraId="176E1A2A" w14:textId="0C05AC98" w:rsidR="0083505D" w:rsidRDefault="0083505D" w:rsidP="0083505D">
      <w:pPr>
        <w:pStyle w:val="ParaNum1"/>
      </w:pPr>
      <w:r>
        <w:t xml:space="preserve">These Procedures are subject to the principles of interpretation set out in Schedule </w:t>
      </w:r>
      <w:r w:rsidRPr="00AF107B">
        <w:t>2 of the</w:t>
      </w:r>
      <w:r w:rsidR="007B599E">
        <w:t xml:space="preserve"> National</w:t>
      </w:r>
      <w:r w:rsidR="00413D01">
        <w:t xml:space="preserve"> Electricity </w:t>
      </w:r>
      <w:r w:rsidR="007B599E">
        <w:t>Law</w:t>
      </w:r>
      <w:r>
        <w:t>.</w:t>
      </w:r>
    </w:p>
    <w:p w14:paraId="75EE8111" w14:textId="3744DD95" w:rsidR="0083505D" w:rsidRPr="00AF107B" w:rsidRDefault="00413D01" w:rsidP="00126592">
      <w:pPr>
        <w:pStyle w:val="ParaNum1"/>
      </w:pPr>
      <w:r>
        <w:t>R</w:t>
      </w:r>
      <w:r w:rsidR="0083505D" w:rsidRPr="00AF107B">
        <w:t>eferences to time are references to Australian Eastern Sta</w:t>
      </w:r>
      <w:r w:rsidR="0083505D">
        <w:t>ndard Time</w:t>
      </w:r>
      <w:r>
        <w:t>.</w:t>
      </w:r>
    </w:p>
    <w:p w14:paraId="11D162A0" w14:textId="77777777" w:rsidR="001F0280" w:rsidRDefault="005537C0" w:rsidP="00126592">
      <w:pPr>
        <w:pStyle w:val="Heading2"/>
      </w:pPr>
      <w:bookmarkStart w:id="12" w:name="_Toc445212699"/>
      <w:bookmarkStart w:id="13" w:name="_Toc445384266"/>
      <w:bookmarkStart w:id="14" w:name="_Toc508896698"/>
      <w:r>
        <w:t>R</w:t>
      </w:r>
      <w:r w:rsidR="001F0280">
        <w:t xml:space="preserve">elated </w:t>
      </w:r>
      <w:r w:rsidR="0019250F">
        <w:t>d</w:t>
      </w:r>
      <w:r w:rsidR="001F0280">
        <w:t>ocuments</w:t>
      </w:r>
      <w:bookmarkEnd w:id="12"/>
      <w:bookmarkEnd w:id="13"/>
      <w:bookmarkEnd w:id="14"/>
    </w:p>
    <w:p w14:paraId="28C15CBB" w14:textId="43146857" w:rsidR="005537C0" w:rsidRDefault="005537C0" w:rsidP="001F0280">
      <w:pPr>
        <w:pStyle w:val="BodyText"/>
      </w:pPr>
    </w:p>
    <w:tbl>
      <w:tblPr>
        <w:tblStyle w:val="AEMOTable"/>
        <w:tblW w:w="0" w:type="auto"/>
        <w:tblLook w:val="0620" w:firstRow="1" w:lastRow="0" w:firstColumn="0" w:lastColumn="0" w:noHBand="1" w:noVBand="1"/>
      </w:tblPr>
      <w:tblGrid>
        <w:gridCol w:w="1418"/>
        <w:gridCol w:w="3969"/>
        <w:gridCol w:w="3787"/>
      </w:tblGrid>
      <w:tr w:rsidR="005537C0" w:rsidRPr="005537C0" w14:paraId="275BF7A2" w14:textId="77777777" w:rsidTr="00843355">
        <w:trPr>
          <w:cnfStyle w:val="100000000000" w:firstRow="1" w:lastRow="0" w:firstColumn="0" w:lastColumn="0" w:oddVBand="0" w:evenVBand="0" w:oddHBand="0" w:evenHBand="0" w:firstRowFirstColumn="0" w:firstRowLastColumn="0" w:lastRowFirstColumn="0" w:lastRowLastColumn="0"/>
        </w:trPr>
        <w:tc>
          <w:tcPr>
            <w:tcW w:w="1418" w:type="dxa"/>
          </w:tcPr>
          <w:p w14:paraId="1D0F4C26" w14:textId="77777777" w:rsidR="005537C0" w:rsidRPr="005537C0" w:rsidRDefault="005537C0" w:rsidP="004954FD">
            <w:pPr>
              <w:pStyle w:val="TableTitle"/>
            </w:pPr>
            <w:r w:rsidRPr="005537C0">
              <w:t>Reference</w:t>
            </w:r>
          </w:p>
        </w:tc>
        <w:tc>
          <w:tcPr>
            <w:tcW w:w="3969" w:type="dxa"/>
          </w:tcPr>
          <w:p w14:paraId="6EE91BF4" w14:textId="77777777" w:rsidR="005537C0" w:rsidRPr="005537C0" w:rsidRDefault="005537C0" w:rsidP="004954FD">
            <w:pPr>
              <w:pStyle w:val="TableTitle"/>
            </w:pPr>
            <w:r w:rsidRPr="005537C0">
              <w:t>Title</w:t>
            </w:r>
          </w:p>
        </w:tc>
        <w:tc>
          <w:tcPr>
            <w:tcW w:w="3787" w:type="dxa"/>
          </w:tcPr>
          <w:p w14:paraId="7FE24AC9" w14:textId="77777777" w:rsidR="005537C0" w:rsidRPr="005537C0" w:rsidRDefault="005537C0" w:rsidP="004954FD">
            <w:pPr>
              <w:pStyle w:val="TableTitle"/>
            </w:pPr>
            <w:r w:rsidRPr="005537C0">
              <w:t>Location</w:t>
            </w:r>
          </w:p>
        </w:tc>
      </w:tr>
      <w:tr w:rsidR="00843355" w:rsidRPr="005537C0" w14:paraId="156FDE35" w14:textId="77777777" w:rsidTr="00843355">
        <w:tc>
          <w:tcPr>
            <w:tcW w:w="1418" w:type="dxa"/>
          </w:tcPr>
          <w:p w14:paraId="0E37CA03" w14:textId="3E3CC1DC" w:rsidR="00843355" w:rsidRPr="005537C0" w:rsidRDefault="00843355" w:rsidP="00843355">
            <w:pPr>
              <w:pStyle w:val="TableText"/>
            </w:pPr>
            <w:r w:rsidRPr="00ED7295">
              <w:t>160-0392</w:t>
            </w:r>
          </w:p>
        </w:tc>
        <w:tc>
          <w:tcPr>
            <w:tcW w:w="3969" w:type="dxa"/>
          </w:tcPr>
          <w:p w14:paraId="0D4D857F" w14:textId="3BE5E399" w:rsidR="00843355" w:rsidRPr="005537C0" w:rsidRDefault="00843355" w:rsidP="00843355">
            <w:pPr>
              <w:pStyle w:val="TableText"/>
            </w:pPr>
            <w:r w:rsidRPr="00ED7295">
              <w:t>Efficient Dispatch and Localised Recovery of Regulation Services Business Specification</w:t>
            </w:r>
          </w:p>
        </w:tc>
        <w:tc>
          <w:tcPr>
            <w:tcW w:w="3787" w:type="dxa"/>
          </w:tcPr>
          <w:p w14:paraId="720719A6" w14:textId="62245945" w:rsidR="00843355" w:rsidRPr="005537C0" w:rsidRDefault="00AF71FC" w:rsidP="00843355">
            <w:pPr>
              <w:pStyle w:val="TableText"/>
            </w:pPr>
            <w:hyperlink r:id="rId26" w:history="1">
              <w:r w:rsidR="00843355" w:rsidRPr="00ED7295">
                <w:rPr>
                  <w:rStyle w:val="Hyperlink"/>
                  <w:rFonts w:eastAsiaTheme="minorHAnsi" w:cstheme="minorBidi"/>
                  <w:szCs w:val="18"/>
                </w:rPr>
                <w:t>http://aemo.com.au/-/media/Files/PDF/0160-0049-pdf.pdf</w:t>
              </w:r>
            </w:hyperlink>
          </w:p>
        </w:tc>
      </w:tr>
    </w:tbl>
    <w:p w14:paraId="59E5348F" w14:textId="2089A4DD" w:rsidR="005537C0" w:rsidRDefault="00370D64" w:rsidP="0019250F">
      <w:pPr>
        <w:pStyle w:val="TableFootnote"/>
      </w:pPr>
      <w:r w:rsidRPr="00370D64">
        <w:rPr>
          <w:highlight w:val="yellow"/>
        </w:rPr>
        <w:t>[AEMO drafting note: the Business Specification will be updated with the final determination to reflect redefined terms.]</w:t>
      </w:r>
    </w:p>
    <w:p w14:paraId="491E432A" w14:textId="7F52C285" w:rsidR="008F2864" w:rsidRDefault="008C59E1" w:rsidP="00126592">
      <w:pPr>
        <w:pStyle w:val="Heading1"/>
        <w:rPr>
          <w:lang w:eastAsia="en-AU"/>
        </w:rPr>
      </w:pPr>
      <w:bookmarkStart w:id="15" w:name="_Toc445212700"/>
      <w:bookmarkStart w:id="16" w:name="_Toc445384267"/>
      <w:bookmarkStart w:id="17" w:name="_Toc508896699"/>
      <w:r>
        <w:rPr>
          <w:lang w:eastAsia="en-AU"/>
        </w:rPr>
        <w:t>General Principles</w:t>
      </w:r>
      <w:bookmarkEnd w:id="15"/>
      <w:bookmarkEnd w:id="16"/>
      <w:bookmarkEnd w:id="17"/>
    </w:p>
    <w:p w14:paraId="24FD673F" w14:textId="0E008F85" w:rsidR="008C59E1" w:rsidRDefault="008C59E1" w:rsidP="008C59E1">
      <w:pPr>
        <w:pStyle w:val="ResetPara"/>
        <w:rPr>
          <w:lang w:eastAsia="en-AU"/>
        </w:rPr>
      </w:pPr>
    </w:p>
    <w:p w14:paraId="5C9DEDF5" w14:textId="77777777" w:rsidR="008C59E1" w:rsidRDefault="008C59E1" w:rsidP="008C59E1">
      <w:pPr>
        <w:pStyle w:val="Lista"/>
      </w:pPr>
      <w:r w:rsidRPr="00A80AE2">
        <w:t xml:space="preserve">AEMO </w:t>
      </w:r>
      <w:r w:rsidRPr="001F4F16">
        <w:rPr>
          <w:i/>
        </w:rPr>
        <w:t>enables</w:t>
      </w:r>
      <w:r w:rsidRPr="00A80AE2">
        <w:t xml:space="preserve"> </w:t>
      </w:r>
      <w:r>
        <w:t>Regulation FCAS</w:t>
      </w:r>
      <w:r w:rsidRPr="00A80AE2">
        <w:t xml:space="preserve"> to either raise or lower system frequency</w:t>
      </w:r>
      <w:r>
        <w:t xml:space="preserve"> </w:t>
      </w:r>
      <w:r w:rsidRPr="00A80AE2">
        <w:t xml:space="preserve">to counteract small changes in </w:t>
      </w:r>
      <w:r w:rsidRPr="001F4F16">
        <w:rPr>
          <w:i/>
        </w:rPr>
        <w:t>power system frequency</w:t>
      </w:r>
      <w:r w:rsidRPr="00A80AE2">
        <w:t>, and any accumulation of these changes over time</w:t>
      </w:r>
      <w:r>
        <w:t>.</w:t>
      </w:r>
    </w:p>
    <w:p w14:paraId="31BEAA12" w14:textId="69B657E4" w:rsidR="008C59E1" w:rsidRPr="00A80AE2" w:rsidRDefault="008C59E1" w:rsidP="008C59E1">
      <w:pPr>
        <w:pStyle w:val="Lista"/>
      </w:pPr>
      <w:r>
        <w:t>O</w:t>
      </w:r>
      <w:r w:rsidRPr="00A80AE2">
        <w:t xml:space="preserve">nce </w:t>
      </w:r>
      <w:r w:rsidRPr="001F4F16">
        <w:rPr>
          <w:i/>
        </w:rPr>
        <w:t>enabled</w:t>
      </w:r>
      <w:r>
        <w:t xml:space="preserve">, Regulation FCAS </w:t>
      </w:r>
      <w:r w:rsidRPr="00A80AE2">
        <w:t xml:space="preserve">are deployed as needed </w:t>
      </w:r>
      <w:r w:rsidR="00BE4DB0">
        <w:t>by AGC</w:t>
      </w:r>
      <w:r w:rsidRPr="00A80AE2">
        <w:t xml:space="preserve"> based on the detected system </w:t>
      </w:r>
      <w:r w:rsidRPr="001F4F16">
        <w:rPr>
          <w:i/>
        </w:rPr>
        <w:t>frequency</w:t>
      </w:r>
      <w:r w:rsidRPr="00A80AE2">
        <w:t xml:space="preserve"> and accumulated time error of the system.</w:t>
      </w:r>
    </w:p>
    <w:p w14:paraId="7A8F34C0" w14:textId="0FEA0BC2" w:rsidR="008C59E1" w:rsidRDefault="008C59E1" w:rsidP="008C59E1">
      <w:pPr>
        <w:pStyle w:val="Lista"/>
      </w:pPr>
      <w:r w:rsidRPr="00F812C1">
        <w:t xml:space="preserve">Contribution </w:t>
      </w:r>
      <w:r>
        <w:t>F</w:t>
      </w:r>
      <w:r w:rsidRPr="00F812C1">
        <w:t>actors</w:t>
      </w:r>
      <w:r w:rsidRPr="00A80AE2">
        <w:t xml:space="preserve"> are determined for the purpose of a</w:t>
      </w:r>
      <w:r>
        <w:t xml:space="preserve">pportioning </w:t>
      </w:r>
      <w:r w:rsidRPr="00A80AE2">
        <w:t xml:space="preserve">the costs of </w:t>
      </w:r>
      <w:r w:rsidRPr="001F4F16">
        <w:rPr>
          <w:iCs/>
        </w:rPr>
        <w:t>Regulati</w:t>
      </w:r>
      <w:r>
        <w:rPr>
          <w:iCs/>
        </w:rPr>
        <w:t xml:space="preserve">on </w:t>
      </w:r>
      <w:r w:rsidRPr="001F4F16">
        <w:rPr>
          <w:iCs/>
        </w:rPr>
        <w:t>FCAS</w:t>
      </w:r>
      <w:r w:rsidRPr="00A80AE2">
        <w:t xml:space="preserve"> to </w:t>
      </w:r>
      <w:r w:rsidRPr="00A80AE2">
        <w:rPr>
          <w:i/>
        </w:rPr>
        <w:t xml:space="preserve">Market </w:t>
      </w:r>
      <w:r>
        <w:rPr>
          <w:i/>
        </w:rPr>
        <w:t xml:space="preserve">Generators, Market Customers </w:t>
      </w:r>
      <w:r>
        <w:t xml:space="preserve">and </w:t>
      </w:r>
      <w:r>
        <w:rPr>
          <w:i/>
        </w:rPr>
        <w:t xml:space="preserve">Market Small Generation </w:t>
      </w:r>
      <w:r w:rsidRPr="009517A9">
        <w:rPr>
          <w:i/>
        </w:rPr>
        <w:t>Aggregators</w:t>
      </w:r>
      <w:r>
        <w:t>,</w:t>
      </w:r>
      <w:r w:rsidRPr="00A80AE2">
        <w:t xml:space="preserve"> </w:t>
      </w:r>
      <w:r>
        <w:t xml:space="preserve">based on the assessed contribution </w:t>
      </w:r>
      <w:r w:rsidR="00451C88">
        <w:t xml:space="preserve">of </w:t>
      </w:r>
      <w:r w:rsidR="00451C88">
        <w:rPr>
          <w:i/>
        </w:rPr>
        <w:t xml:space="preserve">plant </w:t>
      </w:r>
      <w:r w:rsidR="00BE4DB0">
        <w:t xml:space="preserve">at their </w:t>
      </w:r>
      <w:r w:rsidR="00BE4DB0">
        <w:rPr>
          <w:i/>
        </w:rPr>
        <w:t xml:space="preserve">connection points </w:t>
      </w:r>
      <w:r w:rsidRPr="00A80AE2">
        <w:t xml:space="preserve">to recent variations in system </w:t>
      </w:r>
      <w:r w:rsidRPr="001F4F16">
        <w:rPr>
          <w:i/>
        </w:rPr>
        <w:t>frequency</w:t>
      </w:r>
      <w:r>
        <w:rPr>
          <w:i/>
        </w:rPr>
        <w:t xml:space="preserve"> </w:t>
      </w:r>
      <w:r>
        <w:t xml:space="preserve">causing the need for </w:t>
      </w:r>
      <w:r w:rsidRPr="00F812C1">
        <w:t>Regulation FCAS</w:t>
      </w:r>
      <w:r w:rsidRPr="00A80AE2">
        <w:t>.</w:t>
      </w:r>
    </w:p>
    <w:p w14:paraId="62E79D23" w14:textId="5798C873" w:rsidR="008C59E1" w:rsidRDefault="008C59E1" w:rsidP="008C59E1">
      <w:pPr>
        <w:pStyle w:val="Lista"/>
      </w:pPr>
      <w:r w:rsidRPr="00A80AE2">
        <w:t>The calculations</w:t>
      </w:r>
      <w:r>
        <w:t xml:space="preserve"> for Contribution Factors</w:t>
      </w:r>
      <w:r w:rsidRPr="00A80AE2">
        <w:t xml:space="preserve"> assess </w:t>
      </w:r>
      <w:r w:rsidRPr="00137E70">
        <w:t>deviations</w:t>
      </w:r>
      <w:r w:rsidRPr="00A80AE2">
        <w:t xml:space="preserve"> from a reference trajectory</w:t>
      </w:r>
      <w:r w:rsidR="00F91BD5">
        <w:t xml:space="preserve"> for each area</w:t>
      </w:r>
      <w:r w:rsidRPr="00A80AE2">
        <w:t xml:space="preserve">, which is derived from expected </w:t>
      </w:r>
      <w:r w:rsidRPr="00A80AE2">
        <w:rPr>
          <w:i/>
        </w:rPr>
        <w:t>dispatch</w:t>
      </w:r>
      <w:r w:rsidRPr="00A80AE2">
        <w:t xml:space="preserve"> or expected MW consumption. The </w:t>
      </w:r>
      <w:r w:rsidRPr="00A80AE2">
        <w:rPr>
          <w:i/>
        </w:rPr>
        <w:t>deviations</w:t>
      </w:r>
      <w:r w:rsidRPr="00A80AE2">
        <w:t xml:space="preserve"> are calculated every four seconds and averaged over a </w:t>
      </w:r>
      <w:r>
        <w:t>DI</w:t>
      </w:r>
      <w:r w:rsidRPr="00A80AE2">
        <w:t>.</w:t>
      </w:r>
    </w:p>
    <w:p w14:paraId="1B4ED419" w14:textId="2E3E20FF" w:rsidR="00F91BD5" w:rsidRDefault="00F91BD5" w:rsidP="008C59E1">
      <w:pPr>
        <w:pStyle w:val="Lista"/>
      </w:pPr>
      <w:r>
        <w:lastRenderedPageBreak/>
        <w:t>For these purposes AEMO may</w:t>
      </w:r>
      <w:r w:rsidR="006E6F12">
        <w:t>, where it considers appropriate,</w:t>
      </w:r>
      <w:r>
        <w:t xml:space="preserve"> elect to assess the deviation of appropriately metered plant </w:t>
      </w:r>
      <w:r w:rsidR="00EF04EA">
        <w:t xml:space="preserve">with more than one NER classification </w:t>
      </w:r>
      <w:r>
        <w:t>as a single component</w:t>
      </w:r>
      <w:r w:rsidR="00EF04EA">
        <w:t xml:space="preserve">, provided it </w:t>
      </w:r>
      <w:r w:rsidR="006E6F12">
        <w:t xml:space="preserve">is treated by </w:t>
      </w:r>
      <w:r w:rsidR="00EF04EA">
        <w:t xml:space="preserve">the </w:t>
      </w:r>
      <w:r w:rsidR="006E6F12">
        <w:t>AGC as a single unit.</w:t>
      </w:r>
      <w:r w:rsidR="003028A0">
        <w:rPr>
          <w:rStyle w:val="FootnoteReference"/>
        </w:rPr>
        <w:footnoteReference w:id="2"/>
      </w:r>
      <w:r>
        <w:t xml:space="preserve"> </w:t>
      </w:r>
    </w:p>
    <w:p w14:paraId="56F8BC9E" w14:textId="11AAF7FD" w:rsidR="00BE4DB0" w:rsidRPr="00A80AE2" w:rsidRDefault="00BE4DB0" w:rsidP="008C59E1">
      <w:pPr>
        <w:pStyle w:val="Lista"/>
      </w:pPr>
      <w:r>
        <w:t xml:space="preserve">Interim factors are </w:t>
      </w:r>
      <w:r w:rsidR="00F91BD5">
        <w:t xml:space="preserve">determined on an area basis and then normalised to produce NEM Contribution Factors for </w:t>
      </w:r>
      <w:r w:rsidR="00F91BD5">
        <w:rPr>
          <w:i/>
        </w:rPr>
        <w:t>Market Participants</w:t>
      </w:r>
      <w:r w:rsidR="00675E06">
        <w:t>.</w:t>
      </w:r>
    </w:p>
    <w:p w14:paraId="6A843D6D" w14:textId="38D788F9" w:rsidR="008C59E1" w:rsidRDefault="00F717A4" w:rsidP="00BE4DB0">
      <w:pPr>
        <w:pStyle w:val="Lista"/>
        <w:spacing w:before="240"/>
      </w:pPr>
      <w:r>
        <w:t xml:space="preserve">Individual </w:t>
      </w:r>
      <w:r w:rsidR="008C59E1" w:rsidRPr="00F812C1">
        <w:t xml:space="preserve">Contribution </w:t>
      </w:r>
      <w:r w:rsidR="00451C88">
        <w:t>F</w:t>
      </w:r>
      <w:r w:rsidR="008C59E1" w:rsidRPr="00F812C1">
        <w:t>actors</w:t>
      </w:r>
      <w:r w:rsidR="008C59E1" w:rsidRPr="00A80AE2">
        <w:rPr>
          <w:i/>
        </w:rPr>
        <w:t xml:space="preserve"> </w:t>
      </w:r>
      <w:r w:rsidR="00BE4DB0">
        <w:t>(MPF</w:t>
      </w:r>
      <w:r w:rsidR="00BE4DB0">
        <w:rPr>
          <w:vertAlign w:val="subscript"/>
        </w:rPr>
        <w:t>SSS</w:t>
      </w:r>
      <w:r w:rsidR="00BE4DB0">
        <w:t xml:space="preserve"> and MPF</w:t>
      </w:r>
      <w:r w:rsidR="00BE4DB0">
        <w:rPr>
          <w:vertAlign w:val="subscript"/>
        </w:rPr>
        <w:t>MNS</w:t>
      </w:r>
      <w:r w:rsidR="00BE4DB0">
        <w:t xml:space="preserve">) </w:t>
      </w:r>
      <w:r w:rsidR="008C59E1" w:rsidRPr="00A80AE2">
        <w:t xml:space="preserve">are determined </w:t>
      </w:r>
      <w:r w:rsidR="008C59E1">
        <w:t xml:space="preserve">for </w:t>
      </w:r>
      <w:r w:rsidR="008C59E1">
        <w:rPr>
          <w:i/>
        </w:rPr>
        <w:t xml:space="preserve">Market Participants </w:t>
      </w:r>
      <w:r w:rsidR="008C59E1" w:rsidRPr="00A80AE2">
        <w:t xml:space="preserve">based on the net performance of </w:t>
      </w:r>
      <w:r w:rsidR="008C59E1">
        <w:t xml:space="preserve">their appropriately metered </w:t>
      </w:r>
      <w:r w:rsidR="0083095A">
        <w:rPr>
          <w:i/>
        </w:rPr>
        <w:t xml:space="preserve">market generation </w:t>
      </w:r>
      <w:r w:rsidR="00BE4DB0">
        <w:t>and</w:t>
      </w:r>
      <w:r w:rsidR="0083095A">
        <w:t xml:space="preserve"> </w:t>
      </w:r>
      <w:r w:rsidR="0083095A">
        <w:rPr>
          <w:i/>
        </w:rPr>
        <w:t>market load</w:t>
      </w:r>
      <w:r w:rsidR="008C59E1">
        <w:t xml:space="preserve"> </w:t>
      </w:r>
      <w:r w:rsidR="00BE4DB0">
        <w:t>in each category (</w:t>
      </w:r>
      <w:r w:rsidR="00BE4DB0">
        <w:rPr>
          <w:i/>
        </w:rPr>
        <w:t xml:space="preserve">scheduled/semi-scheduled </w:t>
      </w:r>
      <w:r w:rsidR="00BE4DB0">
        <w:t xml:space="preserve">and </w:t>
      </w:r>
      <w:r w:rsidR="00BE4DB0">
        <w:rPr>
          <w:i/>
        </w:rPr>
        <w:t>market non-scheduled</w:t>
      </w:r>
      <w:r w:rsidR="00BE4DB0">
        <w:t>)</w:t>
      </w:r>
      <w:r w:rsidR="00BE4DB0">
        <w:rPr>
          <w:i/>
        </w:rPr>
        <w:t xml:space="preserve"> </w:t>
      </w:r>
      <w:r w:rsidR="008C59E1" w:rsidRPr="00A80AE2">
        <w:t xml:space="preserve">over a 28 day historical sample period. </w:t>
      </w:r>
    </w:p>
    <w:p w14:paraId="6E356625" w14:textId="65BFCA1A" w:rsidR="008C59E1" w:rsidRPr="00A80AE2" w:rsidRDefault="008C59E1" w:rsidP="008C59E1">
      <w:pPr>
        <w:pStyle w:val="Lista"/>
      </w:pPr>
      <w:r w:rsidRPr="00A80AE2">
        <w:t xml:space="preserve">A residual </w:t>
      </w:r>
      <w:r w:rsidR="00BE4DB0">
        <w:t xml:space="preserve">demand </w:t>
      </w:r>
      <w:r w:rsidR="00451C88">
        <w:t>Contribution F</w:t>
      </w:r>
      <w:r>
        <w:t>actor</w:t>
      </w:r>
      <w:r w:rsidRPr="00A80AE2">
        <w:t xml:space="preserve"> </w:t>
      </w:r>
      <w:r w:rsidR="00BE4DB0">
        <w:t>(MPF</w:t>
      </w:r>
      <w:r w:rsidR="00BE4DB0">
        <w:rPr>
          <w:vertAlign w:val="subscript"/>
        </w:rPr>
        <w:t>RES</w:t>
      </w:r>
      <w:r w:rsidR="00BE4DB0">
        <w:t xml:space="preserve">) </w:t>
      </w:r>
      <w:r w:rsidRPr="00A80AE2">
        <w:t xml:space="preserve">is also calculated and attributed to </w:t>
      </w:r>
      <w:r w:rsidRPr="00A80AE2">
        <w:rPr>
          <w:i/>
        </w:rPr>
        <w:t>Market Customers</w:t>
      </w:r>
      <w:r w:rsidRPr="00A80AE2">
        <w:t xml:space="preserve"> in proportion to their energy consumption. This residual </w:t>
      </w:r>
      <w:r w:rsidR="00F91BD5">
        <w:t xml:space="preserve">demand </w:t>
      </w:r>
      <w:r w:rsidRPr="00A80AE2">
        <w:t xml:space="preserve">factor </w:t>
      </w:r>
      <w:r w:rsidR="00F91BD5">
        <w:t xml:space="preserve">represents </w:t>
      </w:r>
      <w:r w:rsidRPr="00A80AE2">
        <w:t xml:space="preserve">the contribution of all </w:t>
      </w:r>
      <w:r w:rsidRPr="004A5BA5">
        <w:rPr>
          <w:i/>
        </w:rPr>
        <w:t>generating units</w:t>
      </w:r>
      <w:r>
        <w:t>,</w:t>
      </w:r>
      <w:r w:rsidRPr="00A80AE2">
        <w:t xml:space="preserve"> </w:t>
      </w:r>
      <w:r w:rsidRPr="004A5BA5">
        <w:rPr>
          <w:i/>
        </w:rPr>
        <w:t>loads</w:t>
      </w:r>
      <w:r w:rsidRPr="00A80AE2">
        <w:t xml:space="preserve"> </w:t>
      </w:r>
      <w:r>
        <w:t xml:space="preserve">and </w:t>
      </w:r>
      <w:r>
        <w:rPr>
          <w:i/>
        </w:rPr>
        <w:t xml:space="preserve">market network services </w:t>
      </w:r>
      <w:r w:rsidRPr="00A80AE2">
        <w:t xml:space="preserve">that </w:t>
      </w:r>
      <w:r>
        <w:t xml:space="preserve">are not accounted for in the individual </w:t>
      </w:r>
      <w:r>
        <w:rPr>
          <w:i/>
        </w:rPr>
        <w:t xml:space="preserve">Market Participant </w:t>
      </w:r>
      <w:r w:rsidR="00F91BD5">
        <w:t>C</w:t>
      </w:r>
      <w:r w:rsidRPr="00F812C1">
        <w:t xml:space="preserve">ontribution </w:t>
      </w:r>
      <w:r w:rsidR="00F91BD5">
        <w:t>F</w:t>
      </w:r>
      <w:r w:rsidRPr="00F812C1">
        <w:t>actors</w:t>
      </w:r>
      <w:r w:rsidRPr="00A80AE2">
        <w:t xml:space="preserve">. </w:t>
      </w:r>
    </w:p>
    <w:p w14:paraId="119C9AB2" w14:textId="6EB2A076" w:rsidR="008C59E1" w:rsidRDefault="008C59E1" w:rsidP="008C59E1">
      <w:pPr>
        <w:pStyle w:val="Lista"/>
      </w:pPr>
      <w:r w:rsidRPr="00A80AE2">
        <w:t xml:space="preserve">Once calculated, the </w:t>
      </w:r>
      <w:r w:rsidR="00451C88">
        <w:t>C</w:t>
      </w:r>
      <w:r w:rsidRPr="00F812C1">
        <w:t xml:space="preserve">ontribution </w:t>
      </w:r>
      <w:r w:rsidR="00451C88">
        <w:t>F</w:t>
      </w:r>
      <w:r w:rsidRPr="00F812C1">
        <w:t>actors</w:t>
      </w:r>
      <w:r w:rsidRPr="00A80AE2">
        <w:t xml:space="preserve"> are published and applied in </w:t>
      </w:r>
      <w:r w:rsidRPr="00A80AE2">
        <w:rPr>
          <w:i/>
        </w:rPr>
        <w:t>AEMO’s</w:t>
      </w:r>
      <w:r w:rsidRPr="00A80AE2">
        <w:t xml:space="preserve"> settlement systems across a 28 day application period. </w:t>
      </w:r>
    </w:p>
    <w:p w14:paraId="55C2C314" w14:textId="68056F51" w:rsidR="00675E06" w:rsidRDefault="00675E06" w:rsidP="008C59E1">
      <w:pPr>
        <w:pStyle w:val="Lista"/>
      </w:pPr>
      <w:r>
        <w:t xml:space="preserve">In the event of temporary asynchronous operation between Mainland regions, or for any other reason there is a </w:t>
      </w:r>
      <w:r>
        <w:rPr>
          <w:i/>
        </w:rPr>
        <w:t xml:space="preserve">local ancillary service requirement </w:t>
      </w:r>
      <w:r>
        <w:t xml:space="preserve">for Regulation </w:t>
      </w:r>
      <w:r w:rsidR="00C4146D">
        <w:t>FCAS</w:t>
      </w:r>
      <w:r>
        <w:t xml:space="preserve">, the Contribution Factors are applied only to those </w:t>
      </w:r>
      <w:r>
        <w:rPr>
          <w:i/>
        </w:rPr>
        <w:t xml:space="preserve">Market Participants </w:t>
      </w:r>
      <w:r>
        <w:t xml:space="preserve">relevant </w:t>
      </w:r>
      <w:r w:rsidR="00676DF1">
        <w:t xml:space="preserve">to the </w:t>
      </w:r>
      <w:r w:rsidR="00676DF1">
        <w:rPr>
          <w:i/>
        </w:rPr>
        <w:t xml:space="preserve">region </w:t>
      </w:r>
      <w:r w:rsidR="00676DF1">
        <w:t xml:space="preserve">in which the </w:t>
      </w:r>
      <w:r w:rsidR="00676DF1">
        <w:rPr>
          <w:i/>
        </w:rPr>
        <w:t xml:space="preserve">local ancillary service requirement </w:t>
      </w:r>
      <w:r w:rsidR="00676DF1">
        <w:t>arose.</w:t>
      </w:r>
      <w:r>
        <w:t xml:space="preserve"> </w:t>
      </w:r>
    </w:p>
    <w:p w14:paraId="29038DB5" w14:textId="77777777" w:rsidR="006B6119" w:rsidRPr="006B6119" w:rsidRDefault="006B6119" w:rsidP="006B6119">
      <w:pPr>
        <w:pStyle w:val="ResetPara"/>
        <w:rPr>
          <w:lang w:eastAsia="en-AU"/>
        </w:rPr>
      </w:pPr>
    </w:p>
    <w:p w14:paraId="57DACFBD" w14:textId="1E2AECDE" w:rsidR="008F2864" w:rsidRDefault="00174A62" w:rsidP="00174A62">
      <w:pPr>
        <w:pStyle w:val="Heading1"/>
        <w:rPr>
          <w:lang w:eastAsia="en-AU"/>
        </w:rPr>
      </w:pPr>
      <w:bookmarkStart w:id="18" w:name="_Toc445212701"/>
      <w:bookmarkStart w:id="19" w:name="_Toc445384268"/>
      <w:bookmarkStart w:id="20" w:name="_Toc508896700"/>
      <w:r>
        <w:rPr>
          <w:lang w:eastAsia="en-AU"/>
        </w:rPr>
        <w:t>OVERVIEW OF Calculation Process</w:t>
      </w:r>
      <w:bookmarkEnd w:id="18"/>
      <w:bookmarkEnd w:id="19"/>
      <w:bookmarkEnd w:id="20"/>
    </w:p>
    <w:p w14:paraId="6FCDC32F" w14:textId="0952F3CE" w:rsidR="00174A62" w:rsidRDefault="00174A62" w:rsidP="00174A62">
      <w:pPr>
        <w:pStyle w:val="ResetPara"/>
        <w:rPr>
          <w:lang w:eastAsia="en-AU"/>
        </w:rPr>
      </w:pPr>
    </w:p>
    <w:p w14:paraId="006061D3" w14:textId="77777777" w:rsidR="006B6119" w:rsidRPr="006B6119" w:rsidRDefault="006B6119" w:rsidP="006B6119">
      <w:pPr>
        <w:pStyle w:val="ResetPara"/>
        <w:rPr>
          <w:lang w:eastAsia="en-AU"/>
        </w:rPr>
      </w:pPr>
    </w:p>
    <w:p w14:paraId="1C72EAA8" w14:textId="67E389EB" w:rsidR="005C3539" w:rsidRPr="00A80AE2" w:rsidRDefault="005C3539" w:rsidP="005C3539">
      <w:pPr>
        <w:pStyle w:val="Lista"/>
      </w:pPr>
      <w:r w:rsidRPr="00A80AE2">
        <w:rPr>
          <w:i/>
        </w:rPr>
        <w:t>Central dispatch</w:t>
      </w:r>
      <w:r w:rsidRPr="00A80AE2">
        <w:t xml:space="preserve"> assumes that </w:t>
      </w:r>
      <w:r w:rsidRPr="00A80AE2">
        <w:rPr>
          <w:i/>
        </w:rPr>
        <w:t>load</w:t>
      </w:r>
      <w:r w:rsidR="004220A7">
        <w:rPr>
          <w:i/>
        </w:rPr>
        <w:t xml:space="preserve"> </w:t>
      </w:r>
      <w:r w:rsidR="004220A7">
        <w:t>consumption</w:t>
      </w:r>
      <w:r w:rsidRPr="00A80AE2">
        <w:t xml:space="preserve"> and </w:t>
      </w:r>
      <w:r w:rsidRPr="00A80AE2">
        <w:rPr>
          <w:i/>
        </w:rPr>
        <w:t>generating uni</w:t>
      </w:r>
      <w:r w:rsidR="004220A7">
        <w:rPr>
          <w:i/>
        </w:rPr>
        <w:t xml:space="preserve">t </w:t>
      </w:r>
      <w:r w:rsidR="004220A7">
        <w:t>output</w:t>
      </w:r>
      <w:r w:rsidRPr="00A80AE2">
        <w:t xml:space="preserve"> move</w:t>
      </w:r>
      <w:r w:rsidR="004220A7">
        <w:t>s</w:t>
      </w:r>
      <w:r w:rsidRPr="00A80AE2">
        <w:t xml:space="preserve"> in a straight line trajectory from one 5-minute MW level to the next.  </w:t>
      </w:r>
      <w:r w:rsidRPr="00883F00">
        <w:t>Regulation FCAS</w:t>
      </w:r>
      <w:r w:rsidRPr="00A80AE2">
        <w:t xml:space="preserve"> provides the means to manage any variations from straight-line trajectories or any error in the straight-line trajectories themselves.</w:t>
      </w:r>
    </w:p>
    <w:p w14:paraId="7FA0E5E0" w14:textId="093B4B5C" w:rsidR="005C3539" w:rsidRDefault="001E7B42" w:rsidP="005C3539">
      <w:pPr>
        <w:pStyle w:val="Lista"/>
      </w:pPr>
      <w:r>
        <w:t xml:space="preserve">Table </w:t>
      </w:r>
      <w:r w:rsidR="005C3539">
        <w:t>1</w:t>
      </w:r>
      <w:r w:rsidR="005C3539" w:rsidRPr="00A80AE2">
        <w:t xml:space="preserve"> presents </w:t>
      </w:r>
      <w:r w:rsidR="005C3539">
        <w:t xml:space="preserve">some of </w:t>
      </w:r>
      <w:r w:rsidR="005C3539" w:rsidRPr="00A80AE2">
        <w:t xml:space="preserve">the potential sources of </w:t>
      </w:r>
      <w:r w:rsidR="005C3539" w:rsidRPr="00F812C1">
        <w:rPr>
          <w:i/>
        </w:rPr>
        <w:t>frequency</w:t>
      </w:r>
      <w:r w:rsidR="005C3539" w:rsidRPr="00A80AE2">
        <w:t xml:space="preserve"> deviation on the </w:t>
      </w:r>
      <w:r w:rsidR="005C3539" w:rsidRPr="00F812C1">
        <w:rPr>
          <w:i/>
        </w:rPr>
        <w:t>power system</w:t>
      </w:r>
      <w:r w:rsidR="005C3539" w:rsidRPr="00A80AE2">
        <w:t xml:space="preserve">, and how they are allocated </w:t>
      </w:r>
      <w:r w:rsidR="004220A7">
        <w:t xml:space="preserve">to components of </w:t>
      </w:r>
      <w:r w:rsidR="004220A7">
        <w:rPr>
          <w:i/>
        </w:rPr>
        <w:t xml:space="preserve">plant </w:t>
      </w:r>
      <w:r w:rsidR="004220A7">
        <w:t xml:space="preserve">and the associated </w:t>
      </w:r>
      <w:r w:rsidR="004220A7">
        <w:rPr>
          <w:i/>
        </w:rPr>
        <w:t xml:space="preserve">Market Participants </w:t>
      </w:r>
      <w:r w:rsidR="005C3539" w:rsidRPr="00A80AE2">
        <w:t xml:space="preserve">through the </w:t>
      </w:r>
      <w:r w:rsidR="005C3539">
        <w:t>calculations described in this P</w:t>
      </w:r>
      <w:r w:rsidR="005C3539" w:rsidRPr="00A80AE2">
        <w:t xml:space="preserve">rocedure. </w:t>
      </w:r>
    </w:p>
    <w:p w14:paraId="5CAE5A08" w14:textId="7CEB6600" w:rsidR="005C3539" w:rsidRDefault="005C3539" w:rsidP="005C3539">
      <w:pPr>
        <w:pStyle w:val="TableTitle"/>
      </w:pPr>
      <w:r>
        <w:lastRenderedPageBreak/>
        <w:t>Table 1</w:t>
      </w:r>
      <w:r>
        <w:tab/>
        <w:t>Power system deviation sources</w:t>
      </w:r>
    </w:p>
    <w:tbl>
      <w:tblPr>
        <w:tblStyle w:val="TableGrid"/>
        <w:tblW w:w="9072" w:type="dxa"/>
        <w:tblLayout w:type="fixed"/>
        <w:tblLook w:val="01A0" w:firstRow="1" w:lastRow="0" w:firstColumn="1" w:lastColumn="1" w:noHBand="0" w:noVBand="0"/>
      </w:tblPr>
      <w:tblGrid>
        <w:gridCol w:w="4536"/>
        <w:gridCol w:w="4536"/>
      </w:tblGrid>
      <w:tr w:rsidR="005C3539" w:rsidRPr="005C3539" w14:paraId="46E0D2A8" w14:textId="77777777" w:rsidTr="00C43A06">
        <w:tc>
          <w:tcPr>
            <w:tcW w:w="4536" w:type="dxa"/>
            <w:shd w:val="clear" w:color="auto" w:fill="D4CEC6" w:themeFill="accent5" w:themeFillTint="66"/>
          </w:tcPr>
          <w:p w14:paraId="7BD4C575" w14:textId="77777777" w:rsidR="005C3539" w:rsidRPr="005C3539" w:rsidRDefault="005C3539" w:rsidP="005C3539">
            <w:pPr>
              <w:pStyle w:val="TableTitle"/>
              <w:rPr>
                <w:b/>
              </w:rPr>
            </w:pPr>
            <w:r w:rsidRPr="005C3539">
              <w:rPr>
                <w:b/>
              </w:rPr>
              <w:t>Component</w:t>
            </w:r>
          </w:p>
        </w:tc>
        <w:tc>
          <w:tcPr>
            <w:tcW w:w="4536" w:type="dxa"/>
            <w:shd w:val="clear" w:color="auto" w:fill="D4CEC6" w:themeFill="accent5" w:themeFillTint="66"/>
          </w:tcPr>
          <w:p w14:paraId="2CA812AA" w14:textId="77777777" w:rsidR="005C3539" w:rsidRPr="005C3539" w:rsidRDefault="005C3539" w:rsidP="005C3539">
            <w:pPr>
              <w:pStyle w:val="TableTitle"/>
              <w:rPr>
                <w:b/>
              </w:rPr>
            </w:pPr>
            <w:r w:rsidRPr="005C3539">
              <w:rPr>
                <w:b/>
              </w:rPr>
              <w:t>Allocation</w:t>
            </w:r>
          </w:p>
        </w:tc>
      </w:tr>
      <w:tr w:rsidR="005C3539" w:rsidRPr="005C3539" w14:paraId="554659FC" w14:textId="77777777" w:rsidTr="00C43A06">
        <w:tc>
          <w:tcPr>
            <w:tcW w:w="4536" w:type="dxa"/>
            <w:shd w:val="clear" w:color="auto" w:fill="F2F2F2" w:themeFill="background2" w:themeFillShade="F2"/>
          </w:tcPr>
          <w:p w14:paraId="39FE5B23" w14:textId="77777777" w:rsidR="005C3539" w:rsidRPr="005C3539" w:rsidRDefault="005C3539" w:rsidP="005C3539">
            <w:pPr>
              <w:pStyle w:val="TableTitle"/>
              <w:rPr>
                <w:lang w:val="en-AU"/>
              </w:rPr>
            </w:pPr>
            <w:r w:rsidRPr="005C3539">
              <w:rPr>
                <w:lang w:val="en-AU"/>
              </w:rPr>
              <w:t xml:space="preserve">Deviation of </w:t>
            </w:r>
            <w:r w:rsidRPr="005C3539">
              <w:rPr>
                <w:i/>
                <w:lang w:val="en-AU"/>
              </w:rPr>
              <w:t xml:space="preserve">scheduled generating units and scheduled loads </w:t>
            </w:r>
            <w:r w:rsidRPr="005C3539">
              <w:rPr>
                <w:lang w:val="en-AU"/>
              </w:rPr>
              <w:t xml:space="preserve">from </w:t>
            </w:r>
            <w:r w:rsidRPr="005C3539">
              <w:rPr>
                <w:i/>
                <w:lang w:val="en-AU"/>
              </w:rPr>
              <w:t>dispatch schedule</w:t>
            </w:r>
            <w:r w:rsidRPr="005C3539">
              <w:rPr>
                <w:lang w:val="en-AU"/>
              </w:rPr>
              <w:t>.</w:t>
            </w:r>
          </w:p>
        </w:tc>
        <w:tc>
          <w:tcPr>
            <w:tcW w:w="4536" w:type="dxa"/>
            <w:vMerge w:val="restart"/>
            <w:shd w:val="clear" w:color="auto" w:fill="F2F2F2" w:themeFill="background2" w:themeFillShade="F2"/>
          </w:tcPr>
          <w:p w14:paraId="6DFB1AF7" w14:textId="77777777" w:rsidR="005C3539" w:rsidRPr="005C3539" w:rsidRDefault="005C3539" w:rsidP="005C3539">
            <w:pPr>
              <w:pStyle w:val="TableTitle"/>
              <w:rPr>
                <w:lang w:val="en-AU"/>
              </w:rPr>
            </w:pPr>
            <w:r w:rsidRPr="005C3539">
              <w:rPr>
                <w:lang w:val="en-AU"/>
              </w:rPr>
              <w:t xml:space="preserve">To the specific </w:t>
            </w:r>
            <w:r w:rsidRPr="005C3539">
              <w:rPr>
                <w:i/>
                <w:lang w:val="en-AU"/>
              </w:rPr>
              <w:t>generating unit</w:t>
            </w:r>
            <w:r w:rsidRPr="005C3539">
              <w:rPr>
                <w:lang w:val="en-AU"/>
              </w:rPr>
              <w:t xml:space="preserve"> or </w:t>
            </w:r>
            <w:r w:rsidRPr="005C3539">
              <w:rPr>
                <w:i/>
                <w:lang w:val="en-AU"/>
              </w:rPr>
              <w:t xml:space="preserve">load </w:t>
            </w:r>
            <w:r w:rsidRPr="005C3539">
              <w:rPr>
                <w:lang w:val="en-AU"/>
              </w:rPr>
              <w:t xml:space="preserve">if the deviation exacerbated the overall </w:t>
            </w:r>
            <w:r w:rsidRPr="005C3539">
              <w:rPr>
                <w:i/>
                <w:lang w:val="en-AU"/>
              </w:rPr>
              <w:t>power system frequency</w:t>
            </w:r>
            <w:r w:rsidRPr="005C3539">
              <w:rPr>
                <w:lang w:val="en-AU"/>
              </w:rPr>
              <w:t xml:space="preserve"> deviation.</w:t>
            </w:r>
          </w:p>
        </w:tc>
      </w:tr>
      <w:tr w:rsidR="005C3539" w:rsidRPr="005C3539" w14:paraId="0309396C" w14:textId="77777777" w:rsidTr="00C43A06">
        <w:tc>
          <w:tcPr>
            <w:tcW w:w="4536" w:type="dxa"/>
          </w:tcPr>
          <w:p w14:paraId="06F6F3E3" w14:textId="77777777" w:rsidR="005C3539" w:rsidRPr="005C3539" w:rsidRDefault="005C3539" w:rsidP="005C3539">
            <w:pPr>
              <w:pStyle w:val="TableTitle"/>
              <w:rPr>
                <w:lang w:val="en-AU"/>
              </w:rPr>
            </w:pPr>
            <w:r w:rsidRPr="005C3539">
              <w:rPr>
                <w:lang w:val="en-AU"/>
              </w:rPr>
              <w:t xml:space="preserve">Deviation of </w:t>
            </w:r>
            <w:r w:rsidRPr="005C3539">
              <w:rPr>
                <w:i/>
                <w:lang w:val="en-AU"/>
              </w:rPr>
              <w:t>semi-scheduled generating units</w:t>
            </w:r>
            <w:r w:rsidRPr="005C3539">
              <w:rPr>
                <w:lang w:val="en-AU"/>
              </w:rPr>
              <w:t xml:space="preserve"> from their forecast levels.</w:t>
            </w:r>
          </w:p>
        </w:tc>
        <w:tc>
          <w:tcPr>
            <w:tcW w:w="4536" w:type="dxa"/>
            <w:vMerge/>
            <w:shd w:val="clear" w:color="auto" w:fill="F2F2F2" w:themeFill="background2" w:themeFillShade="F2"/>
          </w:tcPr>
          <w:p w14:paraId="4AF70F0D" w14:textId="77777777" w:rsidR="005C3539" w:rsidRPr="005C3539" w:rsidRDefault="005C3539" w:rsidP="005C3539">
            <w:pPr>
              <w:pStyle w:val="TableTitle"/>
              <w:rPr>
                <w:lang w:val="en-AU"/>
              </w:rPr>
            </w:pPr>
          </w:p>
        </w:tc>
      </w:tr>
      <w:tr w:rsidR="005C3539" w:rsidRPr="005C3539" w14:paraId="34425FCA" w14:textId="77777777" w:rsidTr="00C43A06">
        <w:tc>
          <w:tcPr>
            <w:tcW w:w="4536" w:type="dxa"/>
            <w:shd w:val="clear" w:color="auto" w:fill="F2F2F2" w:themeFill="background2" w:themeFillShade="F2"/>
          </w:tcPr>
          <w:p w14:paraId="13EC9398" w14:textId="77777777" w:rsidR="005C3539" w:rsidRPr="005C3539" w:rsidRDefault="005C3539" w:rsidP="005C3539">
            <w:pPr>
              <w:pStyle w:val="TableTitle"/>
              <w:rPr>
                <w:lang w:val="en-AU"/>
              </w:rPr>
            </w:pPr>
            <w:r w:rsidRPr="005C3539">
              <w:rPr>
                <w:lang w:val="en-AU"/>
              </w:rPr>
              <w:t xml:space="preserve">Deviation of </w:t>
            </w:r>
            <w:r w:rsidRPr="005C3539">
              <w:rPr>
                <w:i/>
                <w:lang w:val="en-AU"/>
              </w:rPr>
              <w:t>non-scheduled generating units and loads</w:t>
            </w:r>
            <w:r w:rsidRPr="005C3539">
              <w:rPr>
                <w:lang w:val="en-AU"/>
              </w:rPr>
              <w:t xml:space="preserve"> (with appropriate metering) from their initial conditions. </w:t>
            </w:r>
          </w:p>
        </w:tc>
        <w:tc>
          <w:tcPr>
            <w:tcW w:w="4536" w:type="dxa"/>
            <w:vMerge/>
            <w:shd w:val="clear" w:color="auto" w:fill="F2F2F2" w:themeFill="background2" w:themeFillShade="F2"/>
          </w:tcPr>
          <w:p w14:paraId="75E6D9E7" w14:textId="77777777" w:rsidR="005C3539" w:rsidRPr="005C3539" w:rsidRDefault="005C3539" w:rsidP="005C3539">
            <w:pPr>
              <w:pStyle w:val="TableTitle"/>
              <w:rPr>
                <w:lang w:val="en-AU"/>
              </w:rPr>
            </w:pPr>
          </w:p>
        </w:tc>
      </w:tr>
      <w:tr w:rsidR="00CA60DB" w:rsidRPr="005C3539" w14:paraId="375448C9" w14:textId="77777777" w:rsidTr="008B7804">
        <w:tc>
          <w:tcPr>
            <w:tcW w:w="4536" w:type="dxa"/>
            <w:shd w:val="clear" w:color="auto" w:fill="F2F2F2" w:themeFill="background2" w:themeFillShade="F2"/>
          </w:tcPr>
          <w:p w14:paraId="71619F5F" w14:textId="3A0EF0BE" w:rsidR="00CA60DB" w:rsidRPr="005C3539" w:rsidRDefault="00CA60DB" w:rsidP="005C3539">
            <w:pPr>
              <w:pStyle w:val="TableTitle"/>
              <w:rPr>
                <w:lang w:val="en-AU"/>
              </w:rPr>
            </w:pPr>
            <w:r w:rsidRPr="005C3539">
              <w:rPr>
                <w:lang w:val="en-AU"/>
              </w:rPr>
              <w:t>Deviation of</w:t>
            </w:r>
            <w:r>
              <w:rPr>
                <w:lang w:val="en-AU"/>
              </w:rPr>
              <w:t xml:space="preserve"> residual</w:t>
            </w:r>
            <w:r w:rsidRPr="005C3539">
              <w:rPr>
                <w:lang w:val="en-AU"/>
              </w:rPr>
              <w:t xml:space="preserve"> demand from its expected trajectory due to forecasting error.</w:t>
            </w:r>
          </w:p>
        </w:tc>
        <w:tc>
          <w:tcPr>
            <w:tcW w:w="4536" w:type="dxa"/>
            <w:vMerge/>
            <w:shd w:val="clear" w:color="auto" w:fill="F2F2F2" w:themeFill="background2" w:themeFillShade="F2"/>
          </w:tcPr>
          <w:p w14:paraId="492BFB4B" w14:textId="77777777" w:rsidR="00CA60DB" w:rsidRPr="005C3539" w:rsidRDefault="00CA60DB" w:rsidP="005C3539">
            <w:pPr>
              <w:pStyle w:val="TableTitle"/>
              <w:rPr>
                <w:lang w:val="en-AU"/>
              </w:rPr>
            </w:pPr>
          </w:p>
        </w:tc>
      </w:tr>
      <w:tr w:rsidR="00CA60DB" w:rsidRPr="005C3539" w14:paraId="04711155" w14:textId="77777777" w:rsidTr="008B7804">
        <w:tc>
          <w:tcPr>
            <w:tcW w:w="4536" w:type="dxa"/>
          </w:tcPr>
          <w:p w14:paraId="37790702" w14:textId="0310FD2E" w:rsidR="00CA60DB" w:rsidRPr="005C3539" w:rsidRDefault="00CA60DB" w:rsidP="005C3539">
            <w:pPr>
              <w:pStyle w:val="TableTitle"/>
              <w:rPr>
                <w:lang w:val="en-AU"/>
              </w:rPr>
            </w:pPr>
            <w:r w:rsidRPr="005C3539">
              <w:rPr>
                <w:lang w:val="en-AU"/>
              </w:rPr>
              <w:t xml:space="preserve">Deviation of </w:t>
            </w:r>
            <w:r>
              <w:rPr>
                <w:lang w:val="en-AU"/>
              </w:rPr>
              <w:t xml:space="preserve">residual </w:t>
            </w:r>
            <w:r w:rsidRPr="005C3539">
              <w:rPr>
                <w:lang w:val="en-AU"/>
              </w:rPr>
              <w:t>demand from its expected trajectory due to non-linearity within a five-minute period.</w:t>
            </w:r>
          </w:p>
        </w:tc>
        <w:tc>
          <w:tcPr>
            <w:tcW w:w="4536" w:type="dxa"/>
            <w:shd w:val="clear" w:color="auto" w:fill="F2F2F2" w:themeFill="background2" w:themeFillShade="F2"/>
          </w:tcPr>
          <w:p w14:paraId="390EB636" w14:textId="77777777" w:rsidR="00CA60DB" w:rsidRPr="005C3539" w:rsidRDefault="00CA60DB" w:rsidP="005C3539">
            <w:pPr>
              <w:pStyle w:val="TableTitle"/>
              <w:rPr>
                <w:lang w:val="en-AU"/>
              </w:rPr>
            </w:pPr>
            <w:r w:rsidRPr="005C3539">
              <w:rPr>
                <w:lang w:val="en-AU"/>
              </w:rPr>
              <w:t xml:space="preserve">To all </w:t>
            </w:r>
            <w:r w:rsidRPr="005C3539">
              <w:rPr>
                <w:i/>
                <w:lang w:val="en-AU"/>
              </w:rPr>
              <w:t>Market Customers</w:t>
            </w:r>
            <w:r w:rsidRPr="005C3539">
              <w:rPr>
                <w:lang w:val="en-AU"/>
              </w:rPr>
              <w:t xml:space="preserve"> </w:t>
            </w:r>
          </w:p>
        </w:tc>
      </w:tr>
      <w:tr w:rsidR="00CA60DB" w:rsidRPr="005C3539" w14:paraId="4C58C5F5" w14:textId="77777777" w:rsidTr="008B7804">
        <w:tc>
          <w:tcPr>
            <w:tcW w:w="4536" w:type="dxa"/>
            <w:shd w:val="clear" w:color="auto" w:fill="F2F2F2" w:themeFill="background2" w:themeFillShade="F2"/>
          </w:tcPr>
          <w:p w14:paraId="00B2A9F2" w14:textId="108B787C" w:rsidR="00CA60DB" w:rsidRPr="005C3539" w:rsidRDefault="00CA60DB" w:rsidP="005C3539">
            <w:pPr>
              <w:pStyle w:val="TableTitle"/>
              <w:rPr>
                <w:lang w:val="en-AU"/>
              </w:rPr>
            </w:pPr>
            <w:r w:rsidRPr="005C3539">
              <w:rPr>
                <w:i/>
                <w:lang w:val="en-AU"/>
              </w:rPr>
              <w:t>Region</w:t>
            </w:r>
            <w:r w:rsidRPr="005C3539">
              <w:rPr>
                <w:lang w:val="en-AU"/>
              </w:rPr>
              <w:t xml:space="preserve"> component of Area Demand Error Aggregate Dispatch Error (ADE)</w:t>
            </w:r>
          </w:p>
        </w:tc>
        <w:tc>
          <w:tcPr>
            <w:tcW w:w="4536" w:type="dxa"/>
            <w:shd w:val="clear" w:color="auto" w:fill="F2F2F2" w:themeFill="background2" w:themeFillShade="F2"/>
          </w:tcPr>
          <w:p w14:paraId="612E6801" w14:textId="67955484" w:rsidR="00CA60DB" w:rsidRPr="005C3539" w:rsidRDefault="00CA60DB" w:rsidP="005C3539">
            <w:pPr>
              <w:pStyle w:val="TableTitle"/>
              <w:rPr>
                <w:lang w:val="en-AU"/>
              </w:rPr>
            </w:pPr>
            <w:r w:rsidRPr="005C3539">
              <w:rPr>
                <w:lang w:val="en-AU"/>
              </w:rPr>
              <w:t>Ignored.</w:t>
            </w:r>
            <w:r w:rsidRPr="005C3539">
              <w:rPr>
                <w:vertAlign w:val="superscript"/>
                <w:lang w:val="en-AU"/>
              </w:rPr>
              <w:footnoteReference w:id="3"/>
            </w:r>
          </w:p>
        </w:tc>
      </w:tr>
    </w:tbl>
    <w:p w14:paraId="2D3CF342" w14:textId="77777777" w:rsidR="005C3539" w:rsidRDefault="005C3539" w:rsidP="005C3539">
      <w:pPr>
        <w:pStyle w:val="TxtFlw0"/>
      </w:pPr>
    </w:p>
    <w:p w14:paraId="053066A3" w14:textId="449C6311" w:rsidR="004220A7" w:rsidRDefault="005C3539" w:rsidP="005C3539">
      <w:pPr>
        <w:pStyle w:val="Lista"/>
      </w:pPr>
      <w:r>
        <w:t>As</w:t>
      </w:r>
      <w:r w:rsidRPr="00A80AE2">
        <w:t xml:space="preserve"> </w:t>
      </w:r>
      <w:r>
        <w:t xml:space="preserve">individual Contribution Factors are only determined for </w:t>
      </w:r>
      <w:r w:rsidRPr="005C3539">
        <w:rPr>
          <w:i/>
        </w:rPr>
        <w:t>Market Generators</w:t>
      </w:r>
      <w:r>
        <w:t xml:space="preserve">, </w:t>
      </w:r>
      <w:r w:rsidRPr="005C3539">
        <w:rPr>
          <w:i/>
        </w:rPr>
        <w:t xml:space="preserve">Market Customers </w:t>
      </w:r>
      <w:r>
        <w:t xml:space="preserve">and </w:t>
      </w:r>
      <w:r w:rsidRPr="005C3539">
        <w:rPr>
          <w:i/>
        </w:rPr>
        <w:t>Market Small Generation Aggregators</w:t>
      </w:r>
      <w:r w:rsidR="00790D25">
        <w:rPr>
          <w:i/>
        </w:rPr>
        <w:t xml:space="preserve"> </w:t>
      </w:r>
      <w:r w:rsidR="00790D25">
        <w:t xml:space="preserve">in respect of their </w:t>
      </w:r>
      <w:r w:rsidR="00790D25">
        <w:rPr>
          <w:i/>
        </w:rPr>
        <w:t xml:space="preserve">connection points </w:t>
      </w:r>
      <w:r w:rsidR="00790D25">
        <w:t>with appropriate metering</w:t>
      </w:r>
      <w:r>
        <w:t>, t</w:t>
      </w:r>
      <w:r w:rsidRPr="00A80AE2">
        <w:t>he impact of non-linearity in</w:t>
      </w:r>
      <w:r w:rsidR="004220A7">
        <w:t>:</w:t>
      </w:r>
    </w:p>
    <w:p w14:paraId="4D2522B1" w14:textId="7CA22CB0" w:rsidR="004220A7" w:rsidRDefault="005C3539" w:rsidP="004220A7">
      <w:pPr>
        <w:pStyle w:val="Listi"/>
      </w:pPr>
      <w:r w:rsidRPr="005C3539">
        <w:rPr>
          <w:i/>
        </w:rPr>
        <w:t>non-market generating units</w:t>
      </w:r>
      <w:r w:rsidR="004220A7">
        <w:t>;</w:t>
      </w:r>
    </w:p>
    <w:p w14:paraId="425D361A" w14:textId="175DF3DE" w:rsidR="004220A7" w:rsidRDefault="004220A7" w:rsidP="004220A7">
      <w:pPr>
        <w:pStyle w:val="Listi"/>
      </w:pPr>
      <w:r>
        <w:rPr>
          <w:i/>
        </w:rPr>
        <w:t xml:space="preserve">market non-scheduled generating units </w:t>
      </w:r>
      <w:r>
        <w:t>without appropriate metering;</w:t>
      </w:r>
    </w:p>
    <w:p w14:paraId="71CD0F07" w14:textId="77777777" w:rsidR="004220A7" w:rsidRDefault="005C3539" w:rsidP="004220A7">
      <w:pPr>
        <w:pStyle w:val="Listi"/>
      </w:pPr>
      <w:r w:rsidRPr="005C3539">
        <w:rPr>
          <w:i/>
        </w:rPr>
        <w:t>market network services</w:t>
      </w:r>
      <w:r w:rsidR="004220A7">
        <w:t>; and</w:t>
      </w:r>
    </w:p>
    <w:p w14:paraId="1AA666EB" w14:textId="77777777" w:rsidR="004220A7" w:rsidRDefault="005C3539" w:rsidP="004220A7">
      <w:pPr>
        <w:pStyle w:val="Listi"/>
      </w:pPr>
      <w:r>
        <w:t xml:space="preserve">residual demand from </w:t>
      </w:r>
      <w:r w:rsidRPr="005C3539">
        <w:rPr>
          <w:i/>
        </w:rPr>
        <w:t xml:space="preserve">loads </w:t>
      </w:r>
      <w:r>
        <w:t>without appropriate metering,</w:t>
      </w:r>
    </w:p>
    <w:p w14:paraId="53B44793" w14:textId="4491F9FA" w:rsidR="005C3539" w:rsidRPr="00A80AE2" w:rsidRDefault="005C3539" w:rsidP="004220A7">
      <w:pPr>
        <w:pStyle w:val="ParaFlw1"/>
      </w:pPr>
      <w:r>
        <w:t>is captured indi</w:t>
      </w:r>
      <w:r w:rsidRPr="00A80AE2">
        <w:t xml:space="preserve">rectly through the </w:t>
      </w:r>
      <w:r w:rsidRPr="005C3539">
        <w:rPr>
          <w:i/>
        </w:rPr>
        <w:t>regional</w:t>
      </w:r>
      <w:r w:rsidRPr="00A80AE2">
        <w:t xml:space="preserve"> (residual) </w:t>
      </w:r>
      <w:r>
        <w:t>Contribution F</w:t>
      </w:r>
      <w:r w:rsidRPr="00A80AE2">
        <w:t>actor.</w:t>
      </w:r>
    </w:p>
    <w:p w14:paraId="6D07C4BD" w14:textId="42C6C2DE" w:rsidR="005C3539" w:rsidRPr="00A80AE2" w:rsidRDefault="005C3539" w:rsidP="005C3539">
      <w:pPr>
        <w:pStyle w:val="Lista"/>
      </w:pPr>
      <w:r w:rsidRPr="00A80AE2">
        <w:t xml:space="preserve">An overview of the calculation process is provided in </w:t>
      </w:r>
      <w:r w:rsidR="001E7B42">
        <w:fldChar w:fldCharType="begin"/>
      </w:r>
      <w:r w:rsidR="001E7B42">
        <w:instrText xml:space="preserve"> REF _Ref474511205 \h </w:instrText>
      </w:r>
      <w:r w:rsidR="001E7B42">
        <w:fldChar w:fldCharType="separate"/>
      </w:r>
      <w:r w:rsidR="003E2BF7" w:rsidRPr="00A50992">
        <w:t xml:space="preserve">Figure </w:t>
      </w:r>
      <w:r w:rsidR="003E2BF7">
        <w:rPr>
          <w:noProof/>
        </w:rPr>
        <w:t>1</w:t>
      </w:r>
      <w:r w:rsidR="001E7B42">
        <w:fldChar w:fldCharType="end"/>
      </w:r>
      <w:r w:rsidRPr="00A80AE2">
        <w:t xml:space="preserve">, where the numbering in the figure corresponds to the relevant </w:t>
      </w:r>
      <w:r w:rsidR="004220A7">
        <w:t xml:space="preserve">clause </w:t>
      </w:r>
      <w:r w:rsidRPr="00A80AE2">
        <w:t xml:space="preserve">numbers in this </w:t>
      </w:r>
      <w:r>
        <w:t>Procedure</w:t>
      </w:r>
      <w:r w:rsidRPr="00A80AE2">
        <w:t>.</w:t>
      </w:r>
    </w:p>
    <w:p w14:paraId="1F2B2155" w14:textId="3666EC26" w:rsidR="005C3539" w:rsidRDefault="00C43A06" w:rsidP="00C43A06">
      <w:pPr>
        <w:pStyle w:val="Figure"/>
      </w:pPr>
      <w:r>
        <w:lastRenderedPageBreak/>
        <w:t>Figure 1</w:t>
      </w:r>
      <w:r>
        <w:tab/>
        <w:t>Overview of calculation process</w:t>
      </w:r>
    </w:p>
    <w:p w14:paraId="4A635E21" w14:textId="7B46143F" w:rsidR="00C43A06" w:rsidRPr="00C43A06" w:rsidRDefault="0084592A" w:rsidP="00C43A06">
      <w:pPr>
        <w:keepNext/>
        <w:tabs>
          <w:tab w:val="left" w:pos="567"/>
        </w:tabs>
        <w:spacing w:before="240" w:after="40" w:line="240" w:lineRule="auto"/>
        <w:jc w:val="left"/>
        <w:rPr>
          <w:rFonts w:asciiTheme="minorHAnsi" w:eastAsiaTheme="minorHAnsi" w:hAnsiTheme="minorHAnsi" w:cstheme="minorBidi"/>
          <w:b/>
          <w:bCs/>
          <w:sz w:val="18"/>
          <w:szCs w:val="18"/>
        </w:rPr>
      </w:pPr>
      <w:r>
        <w:rPr>
          <w:rFonts w:asciiTheme="minorHAnsi" w:eastAsiaTheme="minorHAnsi" w:hAnsiTheme="minorHAnsi" w:cstheme="minorBidi"/>
          <w:b/>
          <w:bCs/>
          <w:noProof/>
          <w:sz w:val="18"/>
          <w:szCs w:val="18"/>
          <w:lang w:eastAsia="en-AU"/>
        </w:rPr>
        <w:drawing>
          <wp:inline distT="0" distB="0" distL="0" distR="0" wp14:anchorId="4A83B16B" wp14:editId="0BE6CECE">
            <wp:extent cx="5831840" cy="6225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5831840" cy="6225540"/>
                    </a:xfrm>
                    <a:prstGeom prst="rect">
                      <a:avLst/>
                    </a:prstGeom>
                  </pic:spPr>
                </pic:pic>
              </a:graphicData>
            </a:graphic>
          </wp:inline>
        </w:drawing>
      </w:r>
    </w:p>
    <w:p w14:paraId="257E3344" w14:textId="5765A723" w:rsidR="00C43A06" w:rsidRDefault="00C43A06" w:rsidP="00C43A06">
      <w:pPr>
        <w:pStyle w:val="Heading1"/>
        <w:rPr>
          <w:lang w:eastAsia="en-AU"/>
        </w:rPr>
      </w:pPr>
      <w:bookmarkStart w:id="21" w:name="_Toc508896701"/>
      <w:bookmarkStart w:id="22" w:name="_Toc508896702"/>
      <w:bookmarkStart w:id="23" w:name="_Toc508896703"/>
      <w:bookmarkEnd w:id="21"/>
      <w:bookmarkEnd w:id="22"/>
      <w:r>
        <w:rPr>
          <w:lang w:eastAsia="en-AU"/>
        </w:rPr>
        <w:t>Collect Inputs</w:t>
      </w:r>
      <w:bookmarkEnd w:id="23"/>
    </w:p>
    <w:p w14:paraId="71C9D097" w14:textId="62994855" w:rsidR="00C43A06" w:rsidRPr="00C43A06" w:rsidRDefault="00C43A06" w:rsidP="00C43A06">
      <w:pPr>
        <w:pStyle w:val="Heading2"/>
        <w:rPr>
          <w:lang w:eastAsia="en-AU"/>
        </w:rPr>
      </w:pPr>
      <w:bookmarkStart w:id="24" w:name="_Toc508896704"/>
      <w:r>
        <w:rPr>
          <w:lang w:eastAsia="en-AU"/>
        </w:rPr>
        <w:t>Gather 4-Second Data</w:t>
      </w:r>
      <w:bookmarkEnd w:id="24"/>
    </w:p>
    <w:p w14:paraId="351065CC" w14:textId="14B459F8" w:rsidR="008F2864" w:rsidRDefault="00C43A06" w:rsidP="00126592">
      <w:pPr>
        <w:pStyle w:val="Heading3"/>
        <w:rPr>
          <w:lang w:eastAsia="en-AU"/>
        </w:rPr>
      </w:pPr>
      <w:r>
        <w:rPr>
          <w:lang w:eastAsia="en-AU"/>
        </w:rPr>
        <w:t>Types of input data</w:t>
      </w:r>
    </w:p>
    <w:p w14:paraId="65EC31AB" w14:textId="1D65945A" w:rsidR="00C43A06" w:rsidRDefault="00C43A06" w:rsidP="00C43A06">
      <w:pPr>
        <w:pStyle w:val="ResetPara"/>
        <w:rPr>
          <w:lang w:eastAsia="en-AU"/>
        </w:rPr>
      </w:pPr>
    </w:p>
    <w:p w14:paraId="085A844B" w14:textId="2C5033B9" w:rsidR="00C43A06" w:rsidRDefault="00C43A06" w:rsidP="00C43A06">
      <w:pPr>
        <w:pStyle w:val="ParaFlw0"/>
      </w:pPr>
      <w:r>
        <w:t xml:space="preserve">There are four primary types of input data used to calculate Contribution Factors, described in </w:t>
      </w:r>
      <w:r w:rsidR="004220A7">
        <w:t>clause</w:t>
      </w:r>
      <w:r>
        <w:t xml:space="preserve">s </w:t>
      </w:r>
      <w:r>
        <w:fldChar w:fldCharType="begin"/>
      </w:r>
      <w:r>
        <w:instrText xml:space="preserve"> REF _Ref505872616 \r \h </w:instrText>
      </w:r>
      <w:r>
        <w:fldChar w:fldCharType="separate"/>
      </w:r>
      <w:r w:rsidR="003E2BF7">
        <w:t>4.1.2</w:t>
      </w:r>
      <w:r>
        <w:fldChar w:fldCharType="end"/>
      </w:r>
      <w:r>
        <w:t xml:space="preserve"> to </w:t>
      </w:r>
      <w:r>
        <w:fldChar w:fldCharType="begin"/>
      </w:r>
      <w:r>
        <w:instrText xml:space="preserve"> REF _Ref505872630 \r \h </w:instrText>
      </w:r>
      <w:r>
        <w:fldChar w:fldCharType="separate"/>
      </w:r>
      <w:r w:rsidR="003E2BF7">
        <w:t>4.1.5</w:t>
      </w:r>
      <w:r>
        <w:fldChar w:fldCharType="end"/>
      </w:r>
      <w:r>
        <w:t>:</w:t>
      </w:r>
    </w:p>
    <w:p w14:paraId="1391E014" w14:textId="77777777" w:rsidR="00C43A06" w:rsidRDefault="00C43A06" w:rsidP="00C43A06">
      <w:pPr>
        <w:pStyle w:val="Lista"/>
      </w:pPr>
      <w:r>
        <w:t>4</w:t>
      </w:r>
      <w:r w:rsidRPr="002275A7">
        <w:t xml:space="preserve">-second </w:t>
      </w:r>
      <w:r>
        <w:rPr>
          <w:i/>
        </w:rPr>
        <w:t xml:space="preserve">active power </w:t>
      </w:r>
      <w:r>
        <w:t xml:space="preserve">measurement </w:t>
      </w:r>
      <w:r w:rsidRPr="002275A7">
        <w:t>data</w:t>
      </w:r>
      <w:r>
        <w:t>;</w:t>
      </w:r>
    </w:p>
    <w:p w14:paraId="5E4E26E5" w14:textId="77777777" w:rsidR="00C43A06" w:rsidRDefault="00C43A06" w:rsidP="00C43A06">
      <w:pPr>
        <w:pStyle w:val="Lista"/>
      </w:pPr>
      <w:r>
        <w:t>4-second Frequency Indicator value;</w:t>
      </w:r>
    </w:p>
    <w:p w14:paraId="773711E7" w14:textId="77777777" w:rsidR="00C43A06" w:rsidRDefault="00C43A06" w:rsidP="00C43A06">
      <w:pPr>
        <w:pStyle w:val="Lista"/>
      </w:pPr>
      <w:r>
        <w:t xml:space="preserve">5-minute demand forecasts and </w:t>
      </w:r>
      <w:r>
        <w:rPr>
          <w:i/>
        </w:rPr>
        <w:t xml:space="preserve">generating unit </w:t>
      </w:r>
      <w:r>
        <w:t>targets; and</w:t>
      </w:r>
    </w:p>
    <w:p w14:paraId="16B6CEA5" w14:textId="77777777" w:rsidR="00C43A06" w:rsidRDefault="00C43A06" w:rsidP="00C43A06">
      <w:pPr>
        <w:pStyle w:val="Lista"/>
      </w:pPr>
      <w:r>
        <w:lastRenderedPageBreak/>
        <w:t>Contingency and data quality information.</w:t>
      </w:r>
    </w:p>
    <w:p w14:paraId="5CF90BC6" w14:textId="5C70CF54" w:rsidR="00C43A06" w:rsidRDefault="00C43A06" w:rsidP="00C43A06">
      <w:pPr>
        <w:pStyle w:val="Heading3"/>
      </w:pPr>
      <w:bookmarkStart w:id="25" w:name="_Ref505872616"/>
      <w:r>
        <w:t>4-second active power measurement data</w:t>
      </w:r>
      <w:bookmarkEnd w:id="25"/>
    </w:p>
    <w:p w14:paraId="6ECEAA52" w14:textId="5E1E4A9A" w:rsidR="00C43A06" w:rsidRDefault="00C43A06" w:rsidP="00C43A06">
      <w:pPr>
        <w:pStyle w:val="ResetPara"/>
      </w:pPr>
    </w:p>
    <w:p w14:paraId="48E8AA93" w14:textId="77777777" w:rsidR="00C43A06" w:rsidRPr="006A6C20" w:rsidRDefault="00C43A06" w:rsidP="00C43A06">
      <w:pPr>
        <w:pStyle w:val="Lista"/>
      </w:pPr>
      <w:r w:rsidRPr="006A6C20">
        <w:t xml:space="preserve">SCADA measurements of </w:t>
      </w:r>
      <w:r w:rsidRPr="006A6C20">
        <w:rPr>
          <w:i/>
        </w:rPr>
        <w:t>active power</w:t>
      </w:r>
      <w:r w:rsidRPr="006A6C20">
        <w:t xml:space="preserve"> </w:t>
      </w:r>
      <w:r>
        <w:t xml:space="preserve">for appropriately metered </w:t>
      </w:r>
      <w:r>
        <w:rPr>
          <w:i/>
        </w:rPr>
        <w:t xml:space="preserve">generating units </w:t>
      </w:r>
      <w:r>
        <w:t xml:space="preserve">and </w:t>
      </w:r>
      <w:r>
        <w:rPr>
          <w:i/>
        </w:rPr>
        <w:t xml:space="preserve">loads </w:t>
      </w:r>
      <w:r>
        <w:t>are</w:t>
      </w:r>
      <w:r w:rsidRPr="006A6C20">
        <w:t xml:space="preserve"> captured from </w:t>
      </w:r>
      <w:r>
        <w:t>the EMS</w:t>
      </w:r>
      <w:r w:rsidRPr="006A6C20">
        <w:t xml:space="preserve">. This represents the most recent data available at each 4-second sample. </w:t>
      </w:r>
    </w:p>
    <w:p w14:paraId="20E4B0E1" w14:textId="77777777" w:rsidR="00C43A06" w:rsidRPr="006A6C20" w:rsidRDefault="00C43A06" w:rsidP="00C43A06">
      <w:pPr>
        <w:pStyle w:val="Lista"/>
      </w:pPr>
      <w:r>
        <w:t xml:space="preserve">AEMO’s database application </w:t>
      </w:r>
      <w:r w:rsidRPr="006A6C20">
        <w:t xml:space="preserve">provides linear data interpolation in cases where the resolution of the </w:t>
      </w:r>
      <w:r w:rsidRPr="006A6C20">
        <w:rPr>
          <w:i/>
        </w:rPr>
        <w:t>SCADA data</w:t>
      </w:r>
      <w:r w:rsidRPr="006A6C20">
        <w:t xml:space="preserve"> is larger than four-seconds, and in cases where interpolation is required across DI boundaries. </w:t>
      </w:r>
    </w:p>
    <w:p w14:paraId="00627BAA" w14:textId="77777777" w:rsidR="00C43A06" w:rsidRDefault="00C43A06" w:rsidP="00C43A06">
      <w:pPr>
        <w:pStyle w:val="Heading3"/>
      </w:pPr>
      <w:r>
        <w:t>4-</w:t>
      </w:r>
      <w:r w:rsidRPr="006A6C20">
        <w:t>second Frequency Indicator value</w:t>
      </w:r>
    </w:p>
    <w:p w14:paraId="5D2EC6A7" w14:textId="77777777" w:rsidR="00C43A06" w:rsidRPr="00045A49" w:rsidRDefault="00C43A06" w:rsidP="00C43A06">
      <w:pPr>
        <w:pStyle w:val="ResetPara"/>
      </w:pPr>
    </w:p>
    <w:p w14:paraId="6687E0B7" w14:textId="087C22A4" w:rsidR="00C43A06" w:rsidRPr="006A6C20" w:rsidRDefault="00C43A06" w:rsidP="00C43A06">
      <w:pPr>
        <w:pStyle w:val="Lista"/>
      </w:pPr>
      <w:r>
        <w:t>T</w:t>
      </w:r>
      <w:r w:rsidRPr="006A6C20">
        <w:t xml:space="preserve">he Frequency Indicator (FI) represents the </w:t>
      </w:r>
      <w:r w:rsidR="00D80A7C">
        <w:t xml:space="preserve">total </w:t>
      </w:r>
      <w:r>
        <w:t>Regulation FCAS</w:t>
      </w:r>
      <w:r w:rsidRPr="006A6C20">
        <w:t xml:space="preserve"> </w:t>
      </w:r>
      <w:r w:rsidR="00D80A7C">
        <w:t xml:space="preserve">requirement identified </w:t>
      </w:r>
      <w:r w:rsidRPr="006A6C20">
        <w:t xml:space="preserve">by AEMO’s AGC in a given </w:t>
      </w:r>
      <w:r>
        <w:t>4</w:t>
      </w:r>
      <w:r w:rsidRPr="006A6C20">
        <w:t>-second period</w:t>
      </w:r>
      <w:r>
        <w:t xml:space="preserve">, and is </w:t>
      </w:r>
      <w:r w:rsidRPr="006A6C20">
        <w:t xml:space="preserve">sourced directly from AEMO’s AGC SCADA dataset. </w:t>
      </w:r>
    </w:p>
    <w:p w14:paraId="05C4B1DD" w14:textId="77777777" w:rsidR="00C43A06" w:rsidRPr="006A6C20" w:rsidRDefault="00C43A06" w:rsidP="00C43A06">
      <w:pPr>
        <w:pStyle w:val="Lista"/>
      </w:pPr>
      <w:r>
        <w:t xml:space="preserve">Contribution Factor calculations include an FI </w:t>
      </w:r>
      <w:r w:rsidRPr="006A6C20">
        <w:t xml:space="preserve">weighting </w:t>
      </w:r>
      <w:r>
        <w:t xml:space="preserve">component based on the </w:t>
      </w:r>
      <w:r w:rsidRPr="006A6C20">
        <w:t>significance</w:t>
      </w:r>
      <w:r>
        <w:t xml:space="preserve"> </w:t>
      </w:r>
      <w:r w:rsidRPr="006A6C20">
        <w:t>of a given deviation</w:t>
      </w:r>
      <w:r>
        <w:t>, and its direction (whether it increases or decreases the need for Regulation FCAS)</w:t>
      </w:r>
      <w:r w:rsidRPr="006A6C20">
        <w:t>.</w:t>
      </w:r>
    </w:p>
    <w:p w14:paraId="65E8158B" w14:textId="6ADC58C7" w:rsidR="00C43A06" w:rsidRPr="006A6C20" w:rsidRDefault="00C43A06" w:rsidP="00C43A06">
      <w:pPr>
        <w:pStyle w:val="Lista"/>
      </w:pPr>
      <w:r>
        <w:t>M</w:t>
      </w:r>
      <w:r w:rsidRPr="006A6C20">
        <w:t xml:space="preserve">ore information on </w:t>
      </w:r>
      <w:r>
        <w:t xml:space="preserve">the FI value </w:t>
      </w:r>
      <w:r w:rsidRPr="006A6C20">
        <w:t xml:space="preserve">calculation is provided in </w:t>
      </w:r>
      <w:r w:rsidR="004220A7" w:rsidRPr="001E7B42">
        <w:t>clause</w:t>
      </w:r>
      <w:r w:rsidRPr="001E7B42">
        <w:t xml:space="preserve"> </w:t>
      </w:r>
      <w:r w:rsidR="001E7B42" w:rsidRPr="001E7B42">
        <w:fldChar w:fldCharType="begin"/>
      </w:r>
      <w:r w:rsidR="001E7B42" w:rsidRPr="001E7B42">
        <w:instrText xml:space="preserve"> REF _Ref506845194 \r \h </w:instrText>
      </w:r>
      <w:r w:rsidR="001E7B42">
        <w:instrText xml:space="preserve"> \* MERGEFORMAT </w:instrText>
      </w:r>
      <w:r w:rsidR="001E7B42" w:rsidRPr="001E7B42">
        <w:fldChar w:fldCharType="separate"/>
      </w:r>
      <w:r w:rsidR="003E2BF7">
        <w:t>5.2.4</w:t>
      </w:r>
      <w:r w:rsidR="001E7B42" w:rsidRPr="001E7B42">
        <w:fldChar w:fldCharType="end"/>
      </w:r>
      <w:r w:rsidRPr="006A6C20">
        <w:t>.</w:t>
      </w:r>
    </w:p>
    <w:p w14:paraId="138F606C" w14:textId="77777777" w:rsidR="00C43A06" w:rsidRDefault="00C43A06" w:rsidP="00C43A06">
      <w:pPr>
        <w:pStyle w:val="Heading3"/>
      </w:pPr>
      <w:r w:rsidRPr="006A6C20">
        <w:t>5-minute demand forecasts and generator targets</w:t>
      </w:r>
    </w:p>
    <w:p w14:paraId="7E72CA6D" w14:textId="77777777" w:rsidR="00C43A06" w:rsidRPr="0085022A" w:rsidRDefault="00C43A06" w:rsidP="00C43A06">
      <w:pPr>
        <w:pStyle w:val="ResetPara"/>
      </w:pPr>
    </w:p>
    <w:p w14:paraId="14CCA479" w14:textId="55D6A219" w:rsidR="00C43A06" w:rsidRPr="006A6C20" w:rsidRDefault="00C43A06" w:rsidP="00C43A06">
      <w:pPr>
        <w:pStyle w:val="BodyText"/>
        <w:ind w:left="720"/>
        <w:rPr>
          <w:szCs w:val="20"/>
        </w:rPr>
      </w:pPr>
      <w:r w:rsidRPr="006A6C20">
        <w:rPr>
          <w:szCs w:val="20"/>
        </w:rPr>
        <w:t xml:space="preserve">Demand forecasts and </w:t>
      </w:r>
      <w:r w:rsidRPr="003C0425">
        <w:rPr>
          <w:i/>
          <w:szCs w:val="20"/>
        </w:rPr>
        <w:t>dispatch instructions</w:t>
      </w:r>
      <w:r w:rsidRPr="006A6C20">
        <w:rPr>
          <w:szCs w:val="20"/>
        </w:rPr>
        <w:t xml:space="preserve"> are both used to calculate reference trajectories, against which the </w:t>
      </w:r>
      <w:r>
        <w:rPr>
          <w:szCs w:val="20"/>
        </w:rPr>
        <w:t>4</w:t>
      </w:r>
      <w:r w:rsidRPr="006A6C20">
        <w:rPr>
          <w:szCs w:val="20"/>
        </w:rPr>
        <w:t xml:space="preserve"> second performance can be measured. </w:t>
      </w:r>
      <w:r w:rsidRPr="003C0425">
        <w:rPr>
          <w:i/>
          <w:szCs w:val="20"/>
        </w:rPr>
        <w:t>Dispatch</w:t>
      </w:r>
      <w:r w:rsidRPr="006A6C20">
        <w:rPr>
          <w:szCs w:val="20"/>
        </w:rPr>
        <w:t xml:space="preserve"> data is sourced directly from AEMO’s MMS. </w:t>
      </w:r>
    </w:p>
    <w:p w14:paraId="09CE6697" w14:textId="46B6976F" w:rsidR="00C43A06" w:rsidRDefault="00451367" w:rsidP="00C43A06">
      <w:pPr>
        <w:pStyle w:val="Heading3"/>
      </w:pPr>
      <w:bookmarkStart w:id="26" w:name="_Ref505872630"/>
      <w:r>
        <w:t xml:space="preserve">Frequency </w:t>
      </w:r>
      <w:r w:rsidR="00C43A06">
        <w:t>and data quality information</w:t>
      </w:r>
      <w:bookmarkEnd w:id="26"/>
    </w:p>
    <w:p w14:paraId="4E425DE9" w14:textId="77777777" w:rsidR="00C43A06" w:rsidRPr="0085022A" w:rsidRDefault="00C43A06" w:rsidP="00C43A06">
      <w:pPr>
        <w:pStyle w:val="ResetPara"/>
      </w:pPr>
    </w:p>
    <w:p w14:paraId="6319902E" w14:textId="31508AA4" w:rsidR="00C43A06" w:rsidRDefault="00451367" w:rsidP="00C43A06">
      <w:pPr>
        <w:pStyle w:val="Lista"/>
      </w:pPr>
      <w:r>
        <w:t xml:space="preserve">Frequency measurements are sourced to identify the observed </w:t>
      </w:r>
      <w:r w:rsidRPr="008A0CA6">
        <w:rPr>
          <w:i/>
        </w:rPr>
        <w:t>frequency</w:t>
      </w:r>
      <w:r>
        <w:t>.</w:t>
      </w:r>
    </w:p>
    <w:p w14:paraId="02AB0234" w14:textId="3E00DF92" w:rsidR="00451367" w:rsidRPr="006A6C20" w:rsidRDefault="00451367" w:rsidP="00C43A06">
      <w:pPr>
        <w:pStyle w:val="Lista"/>
      </w:pPr>
      <w:r>
        <w:t>Any reported issues on data quality</w:t>
      </w:r>
      <w:r w:rsidR="008A0CA6">
        <w:t xml:space="preserve"> are considered in the identification of SCADA data requiring additional verification checks.</w:t>
      </w:r>
    </w:p>
    <w:p w14:paraId="66BD1B10" w14:textId="103A2B81" w:rsidR="00C43A06" w:rsidRDefault="00C43A06" w:rsidP="00C43A06">
      <w:pPr>
        <w:pStyle w:val="Lista"/>
      </w:pPr>
      <w:r>
        <w:t>If any</w:t>
      </w:r>
      <w:r w:rsidR="008A0CA6">
        <w:t xml:space="preserve"> </w:t>
      </w:r>
      <w:r w:rsidRPr="006A6C20">
        <w:t xml:space="preserve">of the required four-second SCADA data </w:t>
      </w:r>
      <w:r>
        <w:t xml:space="preserve">for a DI </w:t>
      </w:r>
      <w:r w:rsidRPr="006A6C20">
        <w:t xml:space="preserve">is </w:t>
      </w:r>
      <w:r w:rsidR="008A0CA6">
        <w:t xml:space="preserve">determined on verification to be </w:t>
      </w:r>
      <w:r w:rsidRPr="006A6C20">
        <w:t>of corrupt or questionable quality</w:t>
      </w:r>
      <w:r>
        <w:t xml:space="preserve">, the data is corrected where possible by </w:t>
      </w:r>
      <w:r w:rsidRPr="006A6C20">
        <w:t>reloading from an alternative source, such as a duplicate server</w:t>
      </w:r>
      <w:r>
        <w:t>.</w:t>
      </w:r>
    </w:p>
    <w:p w14:paraId="7FC4134B" w14:textId="2246AA6E" w:rsidR="00C43A06" w:rsidRPr="006A6C20" w:rsidRDefault="00C43A06" w:rsidP="00C43A06">
      <w:pPr>
        <w:pStyle w:val="Lista"/>
      </w:pPr>
      <w:r>
        <w:t xml:space="preserve">More information on the exclusion of data is provided in </w:t>
      </w:r>
      <w:r w:rsidR="004220A7">
        <w:t>clause</w:t>
      </w:r>
      <w:r>
        <w:t xml:space="preserve"> </w:t>
      </w:r>
      <w:r w:rsidR="001E7B42">
        <w:fldChar w:fldCharType="begin"/>
      </w:r>
      <w:r w:rsidR="001E7B42">
        <w:instrText xml:space="preserve"> REF _Ref508955648 \r \h </w:instrText>
      </w:r>
      <w:r w:rsidR="001E7B42">
        <w:fldChar w:fldCharType="separate"/>
      </w:r>
      <w:r w:rsidR="003E2BF7">
        <w:t>6.2</w:t>
      </w:r>
      <w:r w:rsidR="001E7B42">
        <w:fldChar w:fldCharType="end"/>
      </w:r>
      <w:r>
        <w:t>.</w:t>
      </w:r>
    </w:p>
    <w:p w14:paraId="4B20E284" w14:textId="18FB379D" w:rsidR="00C43A06" w:rsidRPr="00C43A06" w:rsidRDefault="00D34986" w:rsidP="00C43A06">
      <w:pPr>
        <w:pStyle w:val="Heading2"/>
      </w:pPr>
      <w:bookmarkStart w:id="27" w:name="_Toc508896705"/>
      <w:r>
        <w:t>Estimated FIs and Preprocessing</w:t>
      </w:r>
      <w:bookmarkEnd w:id="27"/>
    </w:p>
    <w:p w14:paraId="511E026C" w14:textId="77777777" w:rsidR="006B6119" w:rsidRPr="006B6119" w:rsidRDefault="006B6119" w:rsidP="006B6119">
      <w:pPr>
        <w:pStyle w:val="ResetPara"/>
        <w:rPr>
          <w:lang w:eastAsia="en-AU"/>
        </w:rPr>
      </w:pPr>
    </w:p>
    <w:p w14:paraId="074FD5BC" w14:textId="1246A3E7" w:rsidR="008F2864" w:rsidRDefault="00C43A06" w:rsidP="0019250F">
      <w:pPr>
        <w:pStyle w:val="Heading3"/>
        <w:rPr>
          <w:lang w:eastAsia="en-AU"/>
        </w:rPr>
      </w:pPr>
      <w:bookmarkStart w:id="28" w:name="_Ref508805287"/>
      <w:r>
        <w:t>Publication of estimated FI values</w:t>
      </w:r>
      <w:bookmarkEnd w:id="28"/>
      <w:r>
        <w:rPr>
          <w:lang w:eastAsia="en-AU"/>
        </w:rPr>
        <w:t xml:space="preserve"> </w:t>
      </w:r>
    </w:p>
    <w:p w14:paraId="3B0A9462" w14:textId="7483BDE8" w:rsidR="00946645" w:rsidRDefault="00946645" w:rsidP="00946645">
      <w:pPr>
        <w:pStyle w:val="ResetPara"/>
        <w:rPr>
          <w:lang w:eastAsia="en-AU"/>
        </w:rPr>
      </w:pPr>
    </w:p>
    <w:p w14:paraId="7D197233" w14:textId="72F3FF85" w:rsidR="00946645" w:rsidRDefault="00946645" w:rsidP="00946645">
      <w:pPr>
        <w:pStyle w:val="TxtFlw0"/>
        <w:rPr>
          <w:lang w:eastAsia="en-AU"/>
        </w:rPr>
      </w:pPr>
      <w:r>
        <w:rPr>
          <w:lang w:eastAsia="en-AU"/>
        </w:rPr>
        <w:t xml:space="preserve">AEMO publishes </w:t>
      </w:r>
      <w:r w:rsidR="001E7B42">
        <w:rPr>
          <w:lang w:eastAsia="en-AU"/>
        </w:rPr>
        <w:t xml:space="preserve">indicative </w:t>
      </w:r>
      <w:r>
        <w:rPr>
          <w:lang w:eastAsia="en-AU"/>
        </w:rPr>
        <w:t xml:space="preserve">FI values close to real time as it understands this may be useful for </w:t>
      </w:r>
      <w:r>
        <w:rPr>
          <w:i/>
          <w:lang w:eastAsia="en-AU"/>
        </w:rPr>
        <w:t>Market Participants</w:t>
      </w:r>
      <w:r>
        <w:rPr>
          <w:lang w:eastAsia="en-AU"/>
        </w:rPr>
        <w:t xml:space="preserve">. These values are to be treated </w:t>
      </w:r>
      <w:r w:rsidR="001E7B42">
        <w:rPr>
          <w:lang w:eastAsia="en-AU"/>
        </w:rPr>
        <w:t>as subject to change</w:t>
      </w:r>
      <w:r w:rsidR="0067106F">
        <w:rPr>
          <w:lang w:eastAsia="en-AU"/>
        </w:rPr>
        <w:t xml:space="preserve"> because</w:t>
      </w:r>
      <w:r>
        <w:rPr>
          <w:lang w:eastAsia="en-AU"/>
        </w:rPr>
        <w:t>:</w:t>
      </w:r>
    </w:p>
    <w:p w14:paraId="3216813B" w14:textId="77777777" w:rsidR="0067106F" w:rsidRDefault="0067106F" w:rsidP="00946645">
      <w:pPr>
        <w:pStyle w:val="Lista"/>
        <w:rPr>
          <w:lang w:eastAsia="en-AU"/>
        </w:rPr>
      </w:pPr>
      <w:r>
        <w:rPr>
          <w:lang w:eastAsia="en-AU"/>
        </w:rPr>
        <w:t>t</w:t>
      </w:r>
      <w:r w:rsidR="00946645">
        <w:rPr>
          <w:lang w:eastAsia="en-AU"/>
        </w:rPr>
        <w:t xml:space="preserve">hey are produced by an automated system and not all of the data </w:t>
      </w:r>
      <w:r>
        <w:rPr>
          <w:lang w:eastAsia="en-AU"/>
        </w:rPr>
        <w:t>inputs may be available at the time of publication;</w:t>
      </w:r>
    </w:p>
    <w:p w14:paraId="0A410D9C" w14:textId="2AE3D9F2" w:rsidR="00946645" w:rsidRPr="00946645" w:rsidRDefault="0067106F" w:rsidP="00946645">
      <w:pPr>
        <w:pStyle w:val="Lista"/>
        <w:rPr>
          <w:lang w:eastAsia="en-AU"/>
        </w:rPr>
      </w:pPr>
      <w:r>
        <w:rPr>
          <w:lang w:eastAsia="en-AU"/>
        </w:rPr>
        <w:t>FI values are subject to manual verification and checks before applying them in Contribution Factor calculations.</w:t>
      </w:r>
    </w:p>
    <w:p w14:paraId="1EC55BA4" w14:textId="50F47394" w:rsidR="00C43A06" w:rsidRDefault="00C43A06" w:rsidP="00C43A06">
      <w:pPr>
        <w:pStyle w:val="ResetPara"/>
        <w:rPr>
          <w:lang w:eastAsia="en-AU"/>
        </w:rPr>
      </w:pPr>
    </w:p>
    <w:p w14:paraId="74320D27" w14:textId="48E86472" w:rsidR="00E0499B" w:rsidRDefault="00E0499B" w:rsidP="00E0499B">
      <w:pPr>
        <w:pStyle w:val="Heading3"/>
        <w:rPr>
          <w:lang w:eastAsia="en-AU"/>
        </w:rPr>
      </w:pPr>
      <w:r>
        <w:rPr>
          <w:lang w:eastAsia="en-AU"/>
        </w:rPr>
        <w:t>Verification and exclusion of FI values</w:t>
      </w:r>
    </w:p>
    <w:p w14:paraId="16623CD0" w14:textId="77777777" w:rsidR="0067106F" w:rsidRPr="0067106F" w:rsidRDefault="0067106F" w:rsidP="0067106F">
      <w:pPr>
        <w:pStyle w:val="ResetPara"/>
        <w:rPr>
          <w:lang w:eastAsia="en-AU"/>
        </w:rPr>
      </w:pPr>
    </w:p>
    <w:p w14:paraId="06C775BD" w14:textId="1DEA413A" w:rsidR="00946645" w:rsidRDefault="00946645" w:rsidP="00946645">
      <w:pPr>
        <w:pStyle w:val="ResetPara"/>
        <w:rPr>
          <w:lang w:eastAsia="en-AU"/>
        </w:rPr>
      </w:pPr>
    </w:p>
    <w:p w14:paraId="6B5664DD" w14:textId="777BAFB4" w:rsidR="0067106F" w:rsidRDefault="0067106F" w:rsidP="0067106F">
      <w:pPr>
        <w:pStyle w:val="Lista"/>
      </w:pPr>
      <w:r>
        <w:t>An FI value may not correlate to the net frequency error in any 4 second period for a number of reasons, including:</w:t>
      </w:r>
    </w:p>
    <w:p w14:paraId="0AE377D0" w14:textId="0D9A174C" w:rsidR="0067106F" w:rsidRPr="0067106F" w:rsidRDefault="008B7804" w:rsidP="0067106F">
      <w:pPr>
        <w:pStyle w:val="Listi"/>
      </w:pPr>
      <w:r>
        <w:t>l</w:t>
      </w:r>
      <w:r w:rsidR="0067106F" w:rsidRPr="0067106F">
        <w:t>ow pass filtering</w:t>
      </w:r>
      <w:r>
        <w:t>,</w:t>
      </w:r>
      <w:r w:rsidR="00DD500F">
        <w:t xml:space="preserve"> which smooths any changes to the </w:t>
      </w:r>
      <w:r>
        <w:t>R</w:t>
      </w:r>
      <w:r w:rsidR="00DD500F">
        <w:t xml:space="preserve">egulation </w:t>
      </w:r>
      <w:r>
        <w:t xml:space="preserve">FCAS </w:t>
      </w:r>
      <w:r w:rsidR="00DD500F">
        <w:t xml:space="preserve">requirement </w:t>
      </w:r>
      <w:r>
        <w:t>in</w:t>
      </w:r>
      <w:r w:rsidR="00DD500F">
        <w:t xml:space="preserve"> response to a sharp deviation in </w:t>
      </w:r>
      <w:r w:rsidRPr="008B7804">
        <w:rPr>
          <w:i/>
        </w:rPr>
        <w:t>frequency</w:t>
      </w:r>
      <w:r>
        <w:t>;</w:t>
      </w:r>
    </w:p>
    <w:p w14:paraId="53780B6D" w14:textId="511FDD17" w:rsidR="0067106F" w:rsidRPr="0067106F" w:rsidRDefault="008B7804" w:rsidP="0067106F">
      <w:pPr>
        <w:pStyle w:val="Listi"/>
      </w:pPr>
      <w:r>
        <w:lastRenderedPageBreak/>
        <w:t>ti</w:t>
      </w:r>
      <w:r w:rsidR="0067106F" w:rsidRPr="0067106F">
        <w:t>me error correction</w:t>
      </w:r>
      <w:r>
        <w:t>,</w:t>
      </w:r>
      <w:r w:rsidR="00DD500F">
        <w:t xml:space="preserve"> which requires the AGC to target the </w:t>
      </w:r>
      <w:r w:rsidR="00DD500F" w:rsidRPr="008B7804">
        <w:rPr>
          <w:i/>
        </w:rPr>
        <w:t xml:space="preserve">frequency </w:t>
      </w:r>
      <w:r w:rsidR="00DD500F">
        <w:t xml:space="preserve">to get to a value other than the nominal </w:t>
      </w:r>
      <w:r w:rsidR="00DD500F" w:rsidRPr="008B7804">
        <w:rPr>
          <w:i/>
        </w:rPr>
        <w:t>frequency</w:t>
      </w:r>
      <w:r w:rsidR="00DD500F">
        <w:t xml:space="preserve">. </w:t>
      </w:r>
    </w:p>
    <w:p w14:paraId="3F5B3C86" w14:textId="3C71710F" w:rsidR="0067106F" w:rsidRPr="0067106F" w:rsidRDefault="008B7804" w:rsidP="0067106F">
      <w:pPr>
        <w:pStyle w:val="Listi"/>
      </w:pPr>
      <w:r>
        <w:t>the i</w:t>
      </w:r>
      <w:r w:rsidR="0067106F" w:rsidRPr="0067106F">
        <w:t xml:space="preserve">ntegral control part of </w:t>
      </w:r>
      <w:r>
        <w:t xml:space="preserve">the </w:t>
      </w:r>
      <w:r w:rsidR="0067106F" w:rsidRPr="0067106F">
        <w:t>AGC logic</w:t>
      </w:r>
      <w:r>
        <w:t>,</w:t>
      </w:r>
      <w:r w:rsidR="00DD500F">
        <w:t xml:space="preserve"> which add</w:t>
      </w:r>
      <w:r>
        <w:t>s</w:t>
      </w:r>
      <w:r w:rsidR="00DD500F">
        <w:t xml:space="preserve"> a component to the </w:t>
      </w:r>
      <w:r>
        <w:t xml:space="preserve">Regulation FCAS requirement </w:t>
      </w:r>
      <w:r w:rsidR="00DD500F">
        <w:t xml:space="preserve">to correct the long term average of the </w:t>
      </w:r>
      <w:r w:rsidR="00DD500F" w:rsidRPr="008B7804">
        <w:rPr>
          <w:i/>
        </w:rPr>
        <w:t>frequency</w:t>
      </w:r>
      <w:r w:rsidR="00DD500F">
        <w:t xml:space="preserve"> error</w:t>
      </w:r>
      <w:r>
        <w:t>; and</w:t>
      </w:r>
    </w:p>
    <w:p w14:paraId="2A2DB80C" w14:textId="15D6BA1F" w:rsidR="0067106F" w:rsidRPr="0067106F" w:rsidRDefault="008B7804" w:rsidP="0067106F">
      <w:pPr>
        <w:pStyle w:val="Listi"/>
      </w:pPr>
      <w:r>
        <w:t>d</w:t>
      </w:r>
      <w:r w:rsidR="0067106F" w:rsidRPr="0067106F">
        <w:t>eadbands applied for stability</w:t>
      </w:r>
      <w:r>
        <w:t>,</w:t>
      </w:r>
      <w:r w:rsidR="00DD500F">
        <w:t xml:space="preserve"> which does not respond to small changes in frequency.</w:t>
      </w:r>
    </w:p>
    <w:p w14:paraId="2FD6E6F4" w14:textId="2123F2D8" w:rsidR="00EC7113" w:rsidRDefault="0067106F" w:rsidP="0067106F">
      <w:pPr>
        <w:pStyle w:val="Lista"/>
      </w:pPr>
      <w:bookmarkStart w:id="29" w:name="_Ref506844288"/>
      <w:r>
        <w:t xml:space="preserve">FI values </w:t>
      </w:r>
      <w:r w:rsidR="00EC7113">
        <w:t>in a</w:t>
      </w:r>
      <w:r w:rsidRPr="0067106F">
        <w:t>ny 4</w:t>
      </w:r>
      <w:r w:rsidR="00EC7113">
        <w:t xml:space="preserve"> second period are excluded where either:</w:t>
      </w:r>
      <w:bookmarkEnd w:id="29"/>
    </w:p>
    <w:p w14:paraId="3B01CCF6" w14:textId="62CA6D95" w:rsidR="00EC7113" w:rsidRDefault="008B7804" w:rsidP="00F6310B">
      <w:pPr>
        <w:pStyle w:val="Listi"/>
      </w:pPr>
      <w:r>
        <w:rPr>
          <w:i/>
        </w:rPr>
        <w:t>f</w:t>
      </w:r>
      <w:r w:rsidR="00DD500F" w:rsidRPr="008B7804">
        <w:rPr>
          <w:i/>
        </w:rPr>
        <w:t>requency</w:t>
      </w:r>
      <w:r w:rsidR="00DD500F" w:rsidRPr="0067106F">
        <w:t xml:space="preserve"> </w:t>
      </w:r>
      <w:r w:rsidR="0067106F" w:rsidRPr="0067106F">
        <w:t xml:space="preserve">&gt; </w:t>
      </w:r>
      <w:r w:rsidR="00DD500F">
        <w:t>5</w:t>
      </w:r>
      <w:r w:rsidR="0067106F" w:rsidRPr="0067106F">
        <w:t>0</w:t>
      </w:r>
      <w:r w:rsidR="00DD500F">
        <w:t xml:space="preserve"> Hz</w:t>
      </w:r>
      <w:r w:rsidR="0067106F" w:rsidRPr="0067106F">
        <w:t xml:space="preserve"> and FI &gt; 0</w:t>
      </w:r>
      <w:r w:rsidR="00EC7113">
        <w:t>; or</w:t>
      </w:r>
    </w:p>
    <w:p w14:paraId="6F52646B" w14:textId="45B2DE9A" w:rsidR="0067106F" w:rsidRPr="0067106F" w:rsidRDefault="008B7804" w:rsidP="00F6310B">
      <w:pPr>
        <w:pStyle w:val="Listi"/>
      </w:pPr>
      <w:r>
        <w:rPr>
          <w:i/>
        </w:rPr>
        <w:t>f</w:t>
      </w:r>
      <w:r w:rsidR="00DD500F" w:rsidRPr="008B7804">
        <w:rPr>
          <w:i/>
        </w:rPr>
        <w:t>requency</w:t>
      </w:r>
      <w:r w:rsidR="00DD500F" w:rsidRPr="0067106F" w:rsidDel="00DD500F">
        <w:rPr>
          <w:rFonts w:ascii="Symbol" w:hAnsi="Symbol"/>
        </w:rPr>
        <w:t></w:t>
      </w:r>
      <w:r w:rsidR="00DD500F">
        <w:rPr>
          <w:rFonts w:ascii="Symbol" w:hAnsi="Symbol"/>
        </w:rPr>
        <w:t></w:t>
      </w:r>
      <w:r w:rsidR="0067106F" w:rsidRPr="0067106F">
        <w:t>&lt;</w:t>
      </w:r>
      <w:r w:rsidR="00DD500F">
        <w:t>50Hz</w:t>
      </w:r>
      <w:r w:rsidR="0067106F" w:rsidRPr="0067106F">
        <w:t xml:space="preserve"> and FI &lt;0</w:t>
      </w:r>
      <w:r w:rsidR="00EC7113">
        <w:t>.</w:t>
      </w:r>
    </w:p>
    <w:p w14:paraId="3ED505AB" w14:textId="2B3F13DD" w:rsidR="0067106F" w:rsidRDefault="00EC7113" w:rsidP="00F6310B">
      <w:pPr>
        <w:pStyle w:val="Lista"/>
        <w:rPr>
          <w:lang w:eastAsia="en-AU"/>
        </w:rPr>
      </w:pPr>
      <w:r>
        <w:t xml:space="preserve">If </w:t>
      </w:r>
      <w:r w:rsidR="003A3BAC">
        <w:t>a significant proportion</w:t>
      </w:r>
      <w:r w:rsidR="008F3C51">
        <w:rPr>
          <w:rStyle w:val="FootnoteReference"/>
        </w:rPr>
        <w:footnoteReference w:id="4"/>
      </w:r>
      <w:r w:rsidR="003A3BAC">
        <w:t xml:space="preserve"> </w:t>
      </w:r>
      <w:r w:rsidR="0067106F" w:rsidRPr="0067106F">
        <w:t xml:space="preserve">of the </w:t>
      </w:r>
      <w:r>
        <w:t xml:space="preserve">4-second FI values in the same DI are excluded under paragraph </w:t>
      </w:r>
      <w:r>
        <w:fldChar w:fldCharType="begin"/>
      </w:r>
      <w:r>
        <w:instrText xml:space="preserve"> REF _Ref506844288 \r \h </w:instrText>
      </w:r>
      <w:r>
        <w:fldChar w:fldCharType="separate"/>
      </w:r>
      <w:r w:rsidR="003E2BF7">
        <w:t>(b)</w:t>
      </w:r>
      <w:r>
        <w:fldChar w:fldCharType="end"/>
      </w:r>
      <w:r>
        <w:t xml:space="preserve">, all performance data for the relevant </w:t>
      </w:r>
      <w:r w:rsidR="003A3BAC">
        <w:t xml:space="preserve">DI and </w:t>
      </w:r>
      <w:r>
        <w:t>area will be excluded from Contribution Factor calculations.</w:t>
      </w:r>
    </w:p>
    <w:p w14:paraId="57307278" w14:textId="60D9CB8D" w:rsidR="008F3C51" w:rsidRPr="0067106F" w:rsidRDefault="008F3C51" w:rsidP="00F6310B">
      <w:pPr>
        <w:pStyle w:val="Lista"/>
        <w:rPr>
          <w:lang w:eastAsia="en-AU"/>
        </w:rPr>
      </w:pPr>
      <w:r>
        <w:t xml:space="preserve">If an abnormal frequency island (as defined in the </w:t>
      </w:r>
      <w:r>
        <w:rPr>
          <w:i/>
        </w:rPr>
        <w:t>frequency operating standards</w:t>
      </w:r>
      <w:r>
        <w:t xml:space="preserve">) forms within </w:t>
      </w:r>
      <w:r w:rsidR="008A0CA6">
        <w:t>an area</w:t>
      </w:r>
      <w:r>
        <w:t xml:space="preserve">, separate FI values </w:t>
      </w:r>
      <w:r w:rsidR="008A0CA6">
        <w:t xml:space="preserve">for each island </w:t>
      </w:r>
      <w:r>
        <w:t>are not determined</w:t>
      </w:r>
      <w:r w:rsidR="008B7804">
        <w:t xml:space="preserve"> and all performance data for the area for the duration of the islanding will be excluded from Contribution Factor calculations</w:t>
      </w:r>
      <w:r w:rsidR="008A0CA6">
        <w:t xml:space="preserve">. </w:t>
      </w:r>
    </w:p>
    <w:p w14:paraId="74A93EF6" w14:textId="20E1DD9C" w:rsidR="00E0499B" w:rsidRDefault="00EE24C2" w:rsidP="00EE24C2">
      <w:pPr>
        <w:pStyle w:val="Heading1"/>
      </w:pPr>
      <w:bookmarkStart w:id="30" w:name="_Toc508896706"/>
      <w:r>
        <w:t>Assess Performance</w:t>
      </w:r>
      <w:bookmarkEnd w:id="30"/>
    </w:p>
    <w:p w14:paraId="13FF726E" w14:textId="37C71AAA" w:rsidR="00EE24C2" w:rsidRDefault="00EE24C2" w:rsidP="00EE24C2">
      <w:pPr>
        <w:pStyle w:val="ResetPara"/>
      </w:pPr>
    </w:p>
    <w:p w14:paraId="6C56B14A" w14:textId="6CE2DFA6" w:rsidR="00EE24C2" w:rsidRDefault="00EE24C2" w:rsidP="00EE24C2">
      <w:pPr>
        <w:pStyle w:val="Heading2"/>
      </w:pPr>
      <w:bookmarkStart w:id="31" w:name="_Ref506182252"/>
      <w:bookmarkStart w:id="32" w:name="_Toc508896707"/>
      <w:r>
        <w:t>Determine 4-Second Deviation Values</w:t>
      </w:r>
      <w:bookmarkEnd w:id="31"/>
      <w:bookmarkEnd w:id="32"/>
    </w:p>
    <w:p w14:paraId="56AAE1B5" w14:textId="3A31689A" w:rsidR="00EE24C2" w:rsidRDefault="00EE24C2" w:rsidP="00EE24C2">
      <w:pPr>
        <w:pStyle w:val="ResetPara"/>
      </w:pPr>
    </w:p>
    <w:p w14:paraId="1486BE67" w14:textId="067A4CC8" w:rsidR="00470629" w:rsidRDefault="00470629" w:rsidP="00470629">
      <w:pPr>
        <w:pStyle w:val="BodyText"/>
      </w:pPr>
      <w:r w:rsidRPr="00470629">
        <w:t xml:space="preserve">Four-second </w:t>
      </w:r>
      <w:r w:rsidRPr="00470629">
        <w:rPr>
          <w:i/>
        </w:rPr>
        <w:t>deviation</w:t>
      </w:r>
      <w:r w:rsidRPr="00470629">
        <w:t>s (in MW) are calculated by comparing SCADA measurements against a reference trajectory which dif</w:t>
      </w:r>
      <w:r w:rsidR="0048178C">
        <w:t>f</w:t>
      </w:r>
      <w:r w:rsidRPr="00470629">
        <w:t xml:space="preserve">ers depending on the deviation source. These calculations are described in the following </w:t>
      </w:r>
      <w:r w:rsidR="004220A7">
        <w:t>clause</w:t>
      </w:r>
      <w:r w:rsidRPr="00470629">
        <w:t>s.</w:t>
      </w:r>
    </w:p>
    <w:p w14:paraId="759705FA" w14:textId="321116E9" w:rsidR="0048178C" w:rsidRDefault="0048178C" w:rsidP="0048178C">
      <w:pPr>
        <w:pStyle w:val="Heading3"/>
      </w:pPr>
      <w:r>
        <w:t>Scheduled and semi-scheduled plant</w:t>
      </w:r>
    </w:p>
    <w:p w14:paraId="05827CF7" w14:textId="354D7577" w:rsidR="0048178C" w:rsidRDefault="0048178C" w:rsidP="0048178C">
      <w:pPr>
        <w:pStyle w:val="ResetPara"/>
      </w:pPr>
    </w:p>
    <w:p w14:paraId="77A01BFC" w14:textId="6FE730F6" w:rsidR="0048178C" w:rsidRPr="0048178C" w:rsidRDefault="0048178C" w:rsidP="0048178C">
      <w:pPr>
        <w:pStyle w:val="TxtFlw0"/>
      </w:pPr>
      <w:r>
        <w:t xml:space="preserve">The reference trajectory for </w:t>
      </w:r>
      <w:r>
        <w:rPr>
          <w:i/>
        </w:rPr>
        <w:t>scheduled generating units, semi-scheduled generating units</w:t>
      </w:r>
      <w:r>
        <w:t xml:space="preserve"> and </w:t>
      </w:r>
      <w:r>
        <w:rPr>
          <w:i/>
        </w:rPr>
        <w:t xml:space="preserve">scheduled loads </w:t>
      </w:r>
      <w:r>
        <w:t>is illustrated in Table 2.</w:t>
      </w:r>
    </w:p>
    <w:p w14:paraId="56501082" w14:textId="1383910C" w:rsidR="00470629" w:rsidRPr="0048178C" w:rsidRDefault="00470629" w:rsidP="00470629">
      <w:pPr>
        <w:pStyle w:val="TableTitle"/>
        <w:rPr>
          <w:i/>
        </w:rPr>
      </w:pPr>
      <w:r>
        <w:t>Table 2</w:t>
      </w:r>
      <w:r w:rsidR="0048178C">
        <w:tab/>
      </w:r>
      <w:r w:rsidR="0048178C">
        <w:rPr>
          <w:i/>
        </w:rPr>
        <w:t>Scheduled generating units, semi-scheduled generating units</w:t>
      </w:r>
      <w:r w:rsidR="0048178C">
        <w:t xml:space="preserve">, and </w:t>
      </w:r>
      <w:r w:rsidR="0048178C">
        <w:rPr>
          <w:i/>
        </w:rPr>
        <w:t>scheduled loads</w:t>
      </w:r>
    </w:p>
    <w:tbl>
      <w:tblPr>
        <w:tblStyle w:val="AEMOTable"/>
        <w:tblW w:w="9310" w:type="dxa"/>
        <w:tblLook w:val="0420" w:firstRow="1" w:lastRow="0" w:firstColumn="0" w:lastColumn="0" w:noHBand="0" w:noVBand="1"/>
      </w:tblPr>
      <w:tblGrid>
        <w:gridCol w:w="2127"/>
        <w:gridCol w:w="2143"/>
        <w:gridCol w:w="5040"/>
      </w:tblGrid>
      <w:tr w:rsidR="0048178C" w:rsidRPr="006F5CE1" w14:paraId="63A88273" w14:textId="77777777" w:rsidTr="00FE0C40">
        <w:trPr>
          <w:cnfStyle w:val="100000000000" w:firstRow="1" w:lastRow="0" w:firstColumn="0" w:lastColumn="0" w:oddVBand="0" w:evenVBand="0" w:oddHBand="0" w:evenHBand="0" w:firstRowFirstColumn="0" w:firstRowLastColumn="0" w:lastRowFirstColumn="0" w:lastRowLastColumn="0"/>
        </w:trPr>
        <w:tc>
          <w:tcPr>
            <w:tcW w:w="2127" w:type="dxa"/>
          </w:tcPr>
          <w:p w14:paraId="15F17C9D" w14:textId="77777777" w:rsidR="0048178C" w:rsidRPr="006A6C20" w:rsidRDefault="0048178C" w:rsidP="00FE0C40">
            <w:pPr>
              <w:keepNext/>
              <w:rPr>
                <w:rFonts w:cstheme="minorHAnsi"/>
                <w:b w:val="0"/>
                <w:sz w:val="18"/>
              </w:rPr>
            </w:pPr>
            <w:r w:rsidRPr="006A6C20">
              <w:rPr>
                <w:rFonts w:cstheme="minorHAnsi"/>
                <w:sz w:val="18"/>
              </w:rPr>
              <w:t>Reference Trajectory</w:t>
            </w:r>
          </w:p>
        </w:tc>
        <w:tc>
          <w:tcPr>
            <w:tcW w:w="2143" w:type="dxa"/>
          </w:tcPr>
          <w:p w14:paraId="6C464D8D" w14:textId="77777777" w:rsidR="0048178C" w:rsidRPr="006A6C20" w:rsidRDefault="0048178C" w:rsidP="00FE0C40">
            <w:pPr>
              <w:keepNext/>
              <w:rPr>
                <w:rFonts w:cstheme="minorHAnsi"/>
                <w:b w:val="0"/>
                <w:sz w:val="18"/>
              </w:rPr>
            </w:pPr>
            <w:r w:rsidRPr="006A6C20">
              <w:rPr>
                <w:rFonts w:cstheme="minorHAnsi"/>
                <w:sz w:val="18"/>
              </w:rPr>
              <w:t>Actual Measurement</w:t>
            </w:r>
          </w:p>
        </w:tc>
        <w:tc>
          <w:tcPr>
            <w:tcW w:w="5040" w:type="dxa"/>
            <w:vAlign w:val="center"/>
          </w:tcPr>
          <w:p w14:paraId="601A151A" w14:textId="77777777" w:rsidR="0048178C" w:rsidRPr="006A6C20" w:rsidRDefault="0048178C" w:rsidP="00FE0C40">
            <w:pPr>
              <w:keepNext/>
              <w:rPr>
                <w:rFonts w:cstheme="minorHAnsi"/>
                <w:b w:val="0"/>
                <w:sz w:val="18"/>
              </w:rPr>
            </w:pPr>
            <w:r w:rsidRPr="006A6C20">
              <w:rPr>
                <w:rFonts w:cstheme="minorHAnsi"/>
                <w:sz w:val="18"/>
              </w:rPr>
              <w:t>Example</w:t>
            </w:r>
          </w:p>
        </w:tc>
      </w:tr>
      <w:tr w:rsidR="0048178C" w:rsidRPr="006F5CE1" w14:paraId="0FA7E990" w14:textId="77777777" w:rsidTr="00FE0C40">
        <w:trPr>
          <w:cnfStyle w:val="000000100000" w:firstRow="0" w:lastRow="0" w:firstColumn="0" w:lastColumn="0" w:oddVBand="0" w:evenVBand="0" w:oddHBand="1" w:evenHBand="0" w:firstRowFirstColumn="0" w:firstRowLastColumn="0" w:lastRowFirstColumn="0" w:lastRowLastColumn="0"/>
        </w:trPr>
        <w:tc>
          <w:tcPr>
            <w:tcW w:w="2127" w:type="dxa"/>
          </w:tcPr>
          <w:p w14:paraId="52A16738" w14:textId="77777777" w:rsidR="0048178C" w:rsidRPr="006A6C20" w:rsidRDefault="0048178C" w:rsidP="00FE0C40">
            <w:pPr>
              <w:keepNext/>
              <w:rPr>
                <w:rFonts w:cstheme="minorHAnsi"/>
                <w:sz w:val="18"/>
              </w:rPr>
            </w:pPr>
            <w:r w:rsidRPr="006A6C20">
              <w:rPr>
                <w:rFonts w:cstheme="minorHAnsi"/>
                <w:sz w:val="18"/>
              </w:rPr>
              <w:t xml:space="preserve">Straight line between previous </w:t>
            </w:r>
            <w:r w:rsidRPr="006A6C20">
              <w:rPr>
                <w:rFonts w:cstheme="minorHAnsi"/>
                <w:i/>
                <w:sz w:val="18"/>
              </w:rPr>
              <w:t>dispatch target</w:t>
            </w:r>
            <w:r w:rsidRPr="006A6C20">
              <w:rPr>
                <w:rFonts w:cstheme="minorHAnsi"/>
                <w:sz w:val="18"/>
              </w:rPr>
              <w:t xml:space="preserve"> and current </w:t>
            </w:r>
            <w:r w:rsidRPr="006A6C20">
              <w:rPr>
                <w:rFonts w:cstheme="minorHAnsi"/>
                <w:i/>
                <w:sz w:val="18"/>
              </w:rPr>
              <w:t>dispatch target</w:t>
            </w:r>
            <w:r w:rsidRPr="006A6C20">
              <w:rPr>
                <w:rFonts w:cstheme="minorHAnsi"/>
                <w:sz w:val="18"/>
              </w:rPr>
              <w:t>.</w:t>
            </w:r>
          </w:p>
        </w:tc>
        <w:tc>
          <w:tcPr>
            <w:tcW w:w="2143" w:type="dxa"/>
          </w:tcPr>
          <w:p w14:paraId="1501A956" w14:textId="77777777" w:rsidR="0048178C" w:rsidRPr="006A6C20" w:rsidRDefault="0048178C" w:rsidP="00FE0C40">
            <w:pPr>
              <w:keepNext/>
              <w:rPr>
                <w:rFonts w:cstheme="minorHAnsi"/>
                <w:sz w:val="18"/>
              </w:rPr>
            </w:pPr>
            <w:r w:rsidRPr="006A6C20">
              <w:rPr>
                <w:rFonts w:cstheme="minorHAnsi"/>
                <w:sz w:val="18"/>
              </w:rPr>
              <w:t>SCADA metering data for the unit or load.</w:t>
            </w:r>
          </w:p>
        </w:tc>
        <w:tc>
          <w:tcPr>
            <w:tcW w:w="5040" w:type="dxa"/>
          </w:tcPr>
          <w:p w14:paraId="7BCA017C" w14:textId="77777777" w:rsidR="0048178C" w:rsidRPr="006A6C20" w:rsidRDefault="0048178C" w:rsidP="00FE0C40">
            <w:pPr>
              <w:keepNext/>
              <w:jc w:val="center"/>
              <w:rPr>
                <w:rFonts w:cstheme="minorHAnsi"/>
                <w:sz w:val="18"/>
              </w:rPr>
            </w:pPr>
            <w:r w:rsidRPr="006A6C20">
              <w:rPr>
                <w:rFonts w:cstheme="minorHAnsi"/>
                <w:noProof/>
                <w:sz w:val="18"/>
                <w:lang w:eastAsia="en-AU"/>
              </w:rPr>
              <w:drawing>
                <wp:inline distT="0" distB="0" distL="0" distR="0" wp14:anchorId="3447AB0D" wp14:editId="3C79DC94">
                  <wp:extent cx="2718000" cy="132480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23" r="2710"/>
                          <a:stretch/>
                        </pic:blipFill>
                        <pic:spPr bwMode="auto">
                          <a:xfrm>
                            <a:off x="0" y="0"/>
                            <a:ext cx="2718000" cy="132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178C" w:rsidRPr="006F5CE1" w14:paraId="4E7331BB" w14:textId="77777777" w:rsidTr="00FE0C40">
        <w:trPr>
          <w:cnfStyle w:val="000000010000" w:firstRow="0" w:lastRow="0" w:firstColumn="0" w:lastColumn="0" w:oddVBand="0" w:evenVBand="0" w:oddHBand="0" w:evenHBand="1" w:firstRowFirstColumn="0" w:firstRowLastColumn="0" w:lastRowFirstColumn="0" w:lastRowLastColumn="0"/>
        </w:trPr>
        <w:tc>
          <w:tcPr>
            <w:tcW w:w="2127" w:type="dxa"/>
          </w:tcPr>
          <w:p w14:paraId="37B7E200" w14:textId="77777777" w:rsidR="0048178C" w:rsidRPr="006A6C20" w:rsidRDefault="0048178C" w:rsidP="00FE0C40">
            <w:pPr>
              <w:spacing w:before="60" w:after="60"/>
              <w:rPr>
                <w:rFonts w:cstheme="minorHAnsi"/>
                <w:b/>
                <w:i/>
                <w:noProof/>
                <w:sz w:val="18"/>
                <w:vertAlign w:val="superscript"/>
                <w:lang w:eastAsia="en-AU"/>
              </w:rPr>
            </w:pPr>
            <w:r w:rsidRPr="006A6C20">
              <w:rPr>
                <w:rFonts w:cstheme="minorHAnsi"/>
                <w:b/>
                <w:i/>
                <w:noProof/>
                <w:sz w:val="18"/>
                <w:lang w:eastAsia="en-AU"/>
              </w:rPr>
              <w:t>GS(t)</w:t>
            </w:r>
          </w:p>
          <w:p w14:paraId="2465E5AE" w14:textId="25D8A7E4" w:rsidR="0048178C" w:rsidRPr="006A6C20" w:rsidRDefault="0048178C" w:rsidP="00FE0C40">
            <w:pPr>
              <w:keepNext/>
              <w:spacing w:before="60" w:after="60"/>
              <w:rPr>
                <w:rFonts w:cstheme="minorHAnsi"/>
                <w:noProof/>
                <w:sz w:val="18"/>
                <w:lang w:eastAsia="en-AU"/>
              </w:rPr>
            </w:pPr>
            <w:r w:rsidRPr="006A6C20">
              <w:rPr>
                <w:rFonts w:cstheme="minorHAnsi"/>
                <w:noProof/>
                <w:sz w:val="18"/>
                <w:lang w:eastAsia="en-AU"/>
              </w:rPr>
              <w:t xml:space="preserve">Source: straight line between total cleared values </w:t>
            </w:r>
          </w:p>
        </w:tc>
        <w:tc>
          <w:tcPr>
            <w:tcW w:w="2143" w:type="dxa"/>
          </w:tcPr>
          <w:p w14:paraId="74290938" w14:textId="77777777" w:rsidR="0048178C" w:rsidRPr="006A6C20" w:rsidRDefault="0048178C" w:rsidP="00FE0C40">
            <w:pPr>
              <w:spacing w:before="60" w:after="60"/>
              <w:rPr>
                <w:rFonts w:cstheme="minorHAnsi"/>
                <w:b/>
                <w:i/>
                <w:noProof/>
                <w:sz w:val="18"/>
                <w:vertAlign w:val="superscript"/>
                <w:lang w:eastAsia="en-AU"/>
              </w:rPr>
            </w:pPr>
            <w:r w:rsidRPr="006A6C20">
              <w:rPr>
                <w:rFonts w:cstheme="minorHAnsi"/>
                <w:b/>
                <w:i/>
                <w:noProof/>
                <w:sz w:val="18"/>
                <w:lang w:eastAsia="en-AU"/>
              </w:rPr>
              <w:t>G(t)</w:t>
            </w:r>
          </w:p>
          <w:p w14:paraId="65538E58" w14:textId="77777777" w:rsidR="0048178C" w:rsidRPr="006A6C20" w:rsidRDefault="0048178C" w:rsidP="00FE0C40">
            <w:pPr>
              <w:keepNext/>
              <w:spacing w:before="60" w:after="60"/>
              <w:rPr>
                <w:rFonts w:cstheme="minorHAnsi"/>
                <w:noProof/>
                <w:sz w:val="18"/>
                <w:lang w:eastAsia="en-AU"/>
              </w:rPr>
            </w:pPr>
            <w:r w:rsidRPr="006A6C20">
              <w:rPr>
                <w:rFonts w:cstheme="minorHAnsi"/>
                <w:noProof/>
                <w:sz w:val="18"/>
                <w:lang w:eastAsia="en-AU"/>
              </w:rPr>
              <w:t>Source: SCADA metered value at each four-second sample.</w:t>
            </w:r>
          </w:p>
        </w:tc>
        <w:tc>
          <w:tcPr>
            <w:tcW w:w="5040" w:type="dxa"/>
          </w:tcPr>
          <w:p w14:paraId="5188C07A" w14:textId="77777777" w:rsidR="0048178C" w:rsidRPr="006A6C20" w:rsidRDefault="0048178C" w:rsidP="00FE0C40">
            <w:pPr>
              <w:spacing w:before="60" w:after="60"/>
              <w:jc w:val="center"/>
              <w:rPr>
                <w:rFonts w:cstheme="minorHAnsi"/>
                <w:noProof/>
                <w:sz w:val="18"/>
              </w:rPr>
            </w:pPr>
            <m:oMathPara>
              <m:oMath>
                <m:r>
                  <w:rPr>
                    <w:rFonts w:ascii="Cambria Math" w:hAnsi="Cambria Math" w:cstheme="minorHAnsi"/>
                    <w:sz w:val="18"/>
                  </w:rPr>
                  <m:t>Scheduled Deviation Gen=ActualGeneration-TargetTrajectory</m:t>
                </m:r>
              </m:oMath>
            </m:oMathPara>
          </w:p>
          <w:p w14:paraId="064CE17D" w14:textId="77777777" w:rsidR="0048178C" w:rsidRPr="006A6C20" w:rsidRDefault="0048178C" w:rsidP="00FE0C40">
            <w:pPr>
              <w:jc w:val="center"/>
              <w:rPr>
                <w:rFonts w:cstheme="minorHAnsi"/>
                <w:sz w:val="18"/>
              </w:rPr>
            </w:pPr>
            <w:bookmarkStart w:id="33" w:name="_Ref474500750"/>
            <w:bookmarkStart w:id="34" w:name="_Ref474500755"/>
            <w:r w:rsidRPr="006A6C20">
              <w:rPr>
                <w:rFonts w:cstheme="minorHAnsi"/>
                <w:b/>
                <w:sz w:val="18"/>
              </w:rPr>
              <w:t xml:space="preserve">EQ. </w:t>
            </w:r>
            <w:r w:rsidRPr="006A6C20">
              <w:rPr>
                <w:rFonts w:cstheme="minorHAnsi"/>
                <w:b/>
                <w:sz w:val="18"/>
              </w:rPr>
              <w:fldChar w:fldCharType="begin"/>
            </w:r>
            <w:r w:rsidRPr="006A6C20">
              <w:rPr>
                <w:rFonts w:cstheme="minorHAnsi"/>
                <w:b/>
                <w:sz w:val="18"/>
              </w:rPr>
              <w:instrText xml:space="preserve"> SEQ Eq. \* ARABIC </w:instrText>
            </w:r>
            <w:r w:rsidRPr="006A6C20">
              <w:rPr>
                <w:rFonts w:cstheme="minorHAnsi"/>
                <w:b/>
                <w:sz w:val="18"/>
              </w:rPr>
              <w:fldChar w:fldCharType="separate"/>
            </w:r>
            <w:r w:rsidR="003E2BF7">
              <w:rPr>
                <w:rFonts w:cstheme="minorHAnsi"/>
                <w:b/>
                <w:noProof/>
                <w:sz w:val="18"/>
              </w:rPr>
              <w:t>1</w:t>
            </w:r>
            <w:r w:rsidRPr="006A6C20">
              <w:rPr>
                <w:rFonts w:cstheme="minorHAnsi"/>
                <w:b/>
                <w:sz w:val="18"/>
              </w:rPr>
              <w:fldChar w:fldCharType="end"/>
            </w:r>
            <w:r w:rsidRPr="006A6C20">
              <w:rPr>
                <w:rFonts w:cstheme="minorHAnsi"/>
                <w:b/>
                <w:sz w:val="18"/>
              </w:rPr>
              <w:tab/>
            </w:r>
            <w:r w:rsidRPr="006A6C20">
              <w:rPr>
                <w:rFonts w:cstheme="minorHAnsi"/>
                <w:sz w:val="18"/>
              </w:rPr>
              <w:tab/>
            </w:r>
            <m:oMath>
              <m:sSub>
                <m:sSubPr>
                  <m:ctrlPr>
                    <w:rPr>
                      <w:rFonts w:ascii="Cambria Math" w:hAnsi="Cambria Math" w:cstheme="minorHAnsi"/>
                      <w:sz w:val="18"/>
                    </w:rPr>
                  </m:ctrlPr>
                </m:sSubPr>
                <m:e>
                  <m:r>
                    <w:rPr>
                      <w:rFonts w:ascii="Cambria Math" w:hAnsi="Cambria Math" w:cstheme="minorHAnsi"/>
                      <w:sz w:val="18"/>
                    </w:rPr>
                    <m:t>E</m:t>
                  </m:r>
                </m:e>
                <m:sub>
                  <m:r>
                    <w:rPr>
                      <w:rFonts w:ascii="Cambria Math" w:hAnsi="Cambria Math" w:cstheme="minorHAnsi"/>
                      <w:sz w:val="18"/>
                    </w:rPr>
                    <m:t>SM</m:t>
                  </m:r>
                </m:sub>
              </m:sSub>
              <m:r>
                <m:rPr>
                  <m:sty m:val="p"/>
                </m:rPr>
                <w:rPr>
                  <w:rFonts w:ascii="Cambria Math" w:hAnsi="Cambria Math" w:cstheme="minorHAnsi"/>
                  <w:sz w:val="18"/>
                </w:rPr>
                <m:t>(</m:t>
              </m:r>
              <m:r>
                <w:rPr>
                  <w:rFonts w:ascii="Cambria Math" w:hAnsi="Cambria Math" w:cstheme="minorHAnsi"/>
                  <w:sz w:val="18"/>
                </w:rPr>
                <m:t>t</m:t>
              </m:r>
              <m:r>
                <m:rPr>
                  <m:sty m:val="p"/>
                </m:rPr>
                <w:rPr>
                  <w:rFonts w:ascii="Cambria Math" w:hAnsi="Cambria Math" w:cstheme="minorHAnsi"/>
                  <w:sz w:val="18"/>
                </w:rPr>
                <m:t>)=</m:t>
              </m:r>
              <m:r>
                <w:rPr>
                  <w:rFonts w:ascii="Cambria Math" w:hAnsi="Cambria Math" w:cstheme="minorHAnsi"/>
                  <w:sz w:val="18"/>
                </w:rPr>
                <m:t>G</m:t>
              </m:r>
              <m:d>
                <m:dPr>
                  <m:ctrlPr>
                    <w:rPr>
                      <w:rFonts w:ascii="Cambria Math" w:hAnsi="Cambria Math" w:cstheme="minorHAnsi"/>
                      <w:sz w:val="18"/>
                    </w:rPr>
                  </m:ctrlPr>
                </m:dPr>
                <m:e>
                  <m:r>
                    <w:rPr>
                      <w:rFonts w:ascii="Cambria Math" w:hAnsi="Cambria Math" w:cstheme="minorHAnsi"/>
                      <w:sz w:val="18"/>
                    </w:rPr>
                    <m:t>t</m:t>
                  </m:r>
                </m:e>
              </m:d>
              <m:r>
                <m:rPr>
                  <m:sty m:val="p"/>
                </m:rPr>
                <w:rPr>
                  <w:rFonts w:ascii="Cambria Math" w:hAnsi="Cambria Math" w:cstheme="minorHAnsi"/>
                  <w:sz w:val="18"/>
                </w:rPr>
                <m:t>-</m:t>
              </m:r>
              <m:r>
                <w:rPr>
                  <w:rFonts w:ascii="Cambria Math" w:hAnsi="Cambria Math" w:cstheme="minorHAnsi"/>
                  <w:sz w:val="18"/>
                </w:rPr>
                <m:t>GS</m:t>
              </m:r>
              <m:d>
                <m:dPr>
                  <m:ctrlPr>
                    <w:rPr>
                      <w:rFonts w:ascii="Cambria Math" w:hAnsi="Cambria Math" w:cstheme="minorHAnsi"/>
                      <w:sz w:val="18"/>
                    </w:rPr>
                  </m:ctrlPr>
                </m:dPr>
                <m:e>
                  <m:r>
                    <w:rPr>
                      <w:rFonts w:ascii="Cambria Math" w:hAnsi="Cambria Math" w:cstheme="minorHAnsi"/>
                      <w:sz w:val="18"/>
                    </w:rPr>
                    <m:t>t</m:t>
                  </m:r>
                </m:e>
              </m:d>
            </m:oMath>
            <w:bookmarkEnd w:id="33"/>
            <w:bookmarkEnd w:id="34"/>
          </w:p>
        </w:tc>
      </w:tr>
    </w:tbl>
    <w:p w14:paraId="4974536A" w14:textId="38394A63" w:rsidR="0048178C" w:rsidRDefault="008B7804" w:rsidP="0048178C">
      <w:pPr>
        <w:pStyle w:val="Heading3"/>
      </w:pPr>
      <w:r>
        <w:lastRenderedPageBreak/>
        <w:t xml:space="preserve">Other </w:t>
      </w:r>
      <w:r w:rsidR="0048178C">
        <w:t xml:space="preserve">market </w:t>
      </w:r>
      <w:r>
        <w:t>connection points</w:t>
      </w:r>
      <w:r w:rsidR="0048178C">
        <w:t xml:space="preserve"> with appropriate metering </w:t>
      </w:r>
    </w:p>
    <w:p w14:paraId="0EB0D557" w14:textId="77777777" w:rsidR="0048178C" w:rsidRDefault="0048178C" w:rsidP="0048178C">
      <w:pPr>
        <w:pStyle w:val="ResetPara"/>
      </w:pPr>
    </w:p>
    <w:p w14:paraId="30F51730" w14:textId="4ABFD46F" w:rsidR="0048178C" w:rsidRPr="0048178C" w:rsidRDefault="0048178C" w:rsidP="0048178C">
      <w:pPr>
        <w:pStyle w:val="TxtFlw0"/>
      </w:pPr>
      <w:r>
        <w:t xml:space="preserve">The reference trajectory for </w:t>
      </w:r>
      <w:r>
        <w:rPr>
          <w:i/>
        </w:rPr>
        <w:t xml:space="preserve">non-scheduled </w:t>
      </w:r>
      <w:r w:rsidR="008850D9">
        <w:rPr>
          <w:i/>
        </w:rPr>
        <w:t xml:space="preserve">market </w:t>
      </w:r>
      <w:r>
        <w:rPr>
          <w:i/>
        </w:rPr>
        <w:t xml:space="preserve">generating units </w:t>
      </w:r>
      <w:r w:rsidR="003B7E7B">
        <w:t xml:space="preserve">and </w:t>
      </w:r>
      <w:r w:rsidR="003B7E7B">
        <w:rPr>
          <w:i/>
        </w:rPr>
        <w:t>non</w:t>
      </w:r>
      <w:r>
        <w:rPr>
          <w:i/>
        </w:rPr>
        <w:t xml:space="preserve">-scheduled </w:t>
      </w:r>
      <w:r w:rsidR="003B7E7B">
        <w:rPr>
          <w:i/>
        </w:rPr>
        <w:t xml:space="preserve">market loads </w:t>
      </w:r>
      <w:r w:rsidR="003B7E7B">
        <w:t>with appropriate metering is illustrated in Table 3</w:t>
      </w:r>
      <w:r>
        <w:t>.</w:t>
      </w:r>
    </w:p>
    <w:p w14:paraId="21F8F98D" w14:textId="42471184" w:rsidR="003B7E7B" w:rsidRPr="0048178C" w:rsidRDefault="003B7E7B" w:rsidP="003B7E7B">
      <w:pPr>
        <w:pStyle w:val="TableTitle"/>
        <w:rPr>
          <w:i/>
        </w:rPr>
      </w:pPr>
      <w:r>
        <w:t>Table 3</w:t>
      </w:r>
      <w:r>
        <w:tab/>
      </w:r>
      <w:r w:rsidRPr="00FE35CF">
        <w:t>Non-scheduled generating units and non-scheduled loads</w:t>
      </w:r>
      <w:r>
        <w:rPr>
          <w:i/>
        </w:rPr>
        <w:t xml:space="preserve"> </w:t>
      </w:r>
      <w:r w:rsidRPr="003B7E7B">
        <w:t>with appropriate metering</w:t>
      </w:r>
    </w:p>
    <w:tbl>
      <w:tblPr>
        <w:tblStyle w:val="AEMOTable"/>
        <w:tblW w:w="9310" w:type="dxa"/>
        <w:tblLook w:val="0420" w:firstRow="1" w:lastRow="0" w:firstColumn="0" w:lastColumn="0" w:noHBand="0" w:noVBand="1"/>
      </w:tblPr>
      <w:tblGrid>
        <w:gridCol w:w="2127"/>
        <w:gridCol w:w="2143"/>
        <w:gridCol w:w="5040"/>
      </w:tblGrid>
      <w:tr w:rsidR="0048178C" w:rsidRPr="006A6C20" w14:paraId="2E3AAEC8" w14:textId="77777777" w:rsidTr="00FE0C40">
        <w:trPr>
          <w:cnfStyle w:val="100000000000" w:firstRow="1" w:lastRow="0" w:firstColumn="0" w:lastColumn="0" w:oddVBand="0" w:evenVBand="0" w:oddHBand="0" w:evenHBand="0" w:firstRowFirstColumn="0" w:firstRowLastColumn="0" w:lastRowFirstColumn="0" w:lastRowLastColumn="0"/>
        </w:trPr>
        <w:tc>
          <w:tcPr>
            <w:tcW w:w="2127" w:type="dxa"/>
          </w:tcPr>
          <w:p w14:paraId="017AD5D6" w14:textId="77777777" w:rsidR="0048178C" w:rsidRPr="006A6C20" w:rsidRDefault="0048178C" w:rsidP="00FE0C40">
            <w:pPr>
              <w:keepNext/>
              <w:rPr>
                <w:rFonts w:asciiTheme="majorHAnsi" w:hAnsiTheme="majorHAnsi" w:cstheme="majorHAnsi"/>
                <w:b w:val="0"/>
                <w:sz w:val="18"/>
              </w:rPr>
            </w:pPr>
            <w:r w:rsidRPr="006A6C20">
              <w:rPr>
                <w:rFonts w:asciiTheme="majorHAnsi" w:hAnsiTheme="majorHAnsi" w:cstheme="majorHAnsi"/>
                <w:sz w:val="18"/>
              </w:rPr>
              <w:t>Reference Trajectory</w:t>
            </w:r>
          </w:p>
        </w:tc>
        <w:tc>
          <w:tcPr>
            <w:tcW w:w="2143" w:type="dxa"/>
          </w:tcPr>
          <w:p w14:paraId="606A30DB" w14:textId="77777777" w:rsidR="0048178C" w:rsidRPr="006A6C20" w:rsidRDefault="0048178C" w:rsidP="00FE0C40">
            <w:pPr>
              <w:keepNext/>
              <w:rPr>
                <w:rFonts w:asciiTheme="majorHAnsi" w:hAnsiTheme="majorHAnsi" w:cstheme="majorHAnsi"/>
                <w:b w:val="0"/>
                <w:sz w:val="18"/>
              </w:rPr>
            </w:pPr>
            <w:r w:rsidRPr="006A6C20">
              <w:rPr>
                <w:rFonts w:asciiTheme="majorHAnsi" w:hAnsiTheme="majorHAnsi" w:cstheme="majorHAnsi"/>
                <w:sz w:val="18"/>
              </w:rPr>
              <w:t>Actual Measurement</w:t>
            </w:r>
          </w:p>
        </w:tc>
        <w:tc>
          <w:tcPr>
            <w:tcW w:w="5040" w:type="dxa"/>
            <w:vAlign w:val="center"/>
          </w:tcPr>
          <w:p w14:paraId="64E131A7" w14:textId="77777777" w:rsidR="0048178C" w:rsidRPr="006A6C20" w:rsidRDefault="0048178C" w:rsidP="00FE0C40">
            <w:pPr>
              <w:keepNext/>
              <w:rPr>
                <w:rFonts w:asciiTheme="majorHAnsi" w:hAnsiTheme="majorHAnsi" w:cstheme="majorHAnsi"/>
                <w:b w:val="0"/>
                <w:sz w:val="18"/>
              </w:rPr>
            </w:pPr>
            <w:r w:rsidRPr="006A6C20">
              <w:rPr>
                <w:rFonts w:asciiTheme="majorHAnsi" w:hAnsiTheme="majorHAnsi" w:cstheme="majorHAnsi"/>
                <w:sz w:val="18"/>
              </w:rPr>
              <w:t>Example</w:t>
            </w:r>
          </w:p>
        </w:tc>
      </w:tr>
      <w:tr w:rsidR="0048178C" w:rsidRPr="006A6C20" w14:paraId="0BF9911B" w14:textId="77777777" w:rsidTr="00FE0C40">
        <w:trPr>
          <w:cnfStyle w:val="000000100000" w:firstRow="0" w:lastRow="0" w:firstColumn="0" w:lastColumn="0" w:oddVBand="0" w:evenVBand="0" w:oddHBand="1" w:evenHBand="0" w:firstRowFirstColumn="0" w:firstRowLastColumn="0" w:lastRowFirstColumn="0" w:lastRowLastColumn="0"/>
        </w:trPr>
        <w:tc>
          <w:tcPr>
            <w:tcW w:w="2127" w:type="dxa"/>
          </w:tcPr>
          <w:p w14:paraId="1C5003B4" w14:textId="77777777" w:rsidR="0048178C" w:rsidRPr="006A6C20" w:rsidRDefault="0048178C" w:rsidP="00FE0C40">
            <w:pPr>
              <w:keepNext/>
              <w:rPr>
                <w:rFonts w:asciiTheme="majorHAnsi" w:hAnsiTheme="majorHAnsi" w:cstheme="majorHAnsi"/>
                <w:sz w:val="18"/>
              </w:rPr>
            </w:pPr>
            <w:r w:rsidRPr="006A6C20">
              <w:rPr>
                <w:rFonts w:asciiTheme="majorHAnsi" w:hAnsiTheme="majorHAnsi" w:cstheme="majorHAnsi"/>
                <w:sz w:val="18"/>
              </w:rPr>
              <w:t xml:space="preserve">Continuation of the initial metered MW level at the start of the current </w:t>
            </w:r>
            <w:r>
              <w:rPr>
                <w:rFonts w:asciiTheme="majorHAnsi" w:hAnsiTheme="majorHAnsi" w:cstheme="majorHAnsi"/>
                <w:sz w:val="18"/>
              </w:rPr>
              <w:t>DI</w:t>
            </w:r>
            <w:r w:rsidRPr="006A6C20">
              <w:rPr>
                <w:rFonts w:asciiTheme="majorHAnsi" w:hAnsiTheme="majorHAnsi" w:cstheme="majorHAnsi"/>
                <w:sz w:val="18"/>
              </w:rPr>
              <w:t>.</w:t>
            </w:r>
          </w:p>
        </w:tc>
        <w:tc>
          <w:tcPr>
            <w:tcW w:w="2143" w:type="dxa"/>
          </w:tcPr>
          <w:p w14:paraId="44AACA16" w14:textId="77777777" w:rsidR="0048178C" w:rsidRPr="006A6C20" w:rsidRDefault="0048178C" w:rsidP="00FE0C40">
            <w:pPr>
              <w:keepNext/>
              <w:rPr>
                <w:rFonts w:asciiTheme="majorHAnsi" w:hAnsiTheme="majorHAnsi" w:cstheme="majorHAnsi"/>
                <w:sz w:val="18"/>
              </w:rPr>
            </w:pPr>
            <w:r w:rsidRPr="006A6C20">
              <w:rPr>
                <w:rFonts w:asciiTheme="majorHAnsi" w:hAnsiTheme="majorHAnsi" w:cstheme="majorHAnsi"/>
                <w:sz w:val="18"/>
              </w:rPr>
              <w:t>SCADA metering data for the unit or load.</w:t>
            </w:r>
          </w:p>
        </w:tc>
        <w:tc>
          <w:tcPr>
            <w:tcW w:w="5040" w:type="dxa"/>
          </w:tcPr>
          <w:p w14:paraId="67178296" w14:textId="77777777" w:rsidR="0048178C" w:rsidRPr="006A6C20" w:rsidRDefault="0048178C" w:rsidP="00FE0C40">
            <w:pPr>
              <w:keepNext/>
              <w:spacing w:before="60" w:after="60"/>
              <w:rPr>
                <w:rFonts w:asciiTheme="majorHAnsi" w:hAnsiTheme="majorHAnsi" w:cstheme="majorHAnsi"/>
                <w:sz w:val="18"/>
              </w:rPr>
            </w:pPr>
            <w:r w:rsidRPr="006A6C20">
              <w:rPr>
                <w:rFonts w:asciiTheme="majorHAnsi" w:hAnsiTheme="majorHAnsi" w:cstheme="majorHAnsi"/>
                <w:sz w:val="18"/>
              </w:rPr>
              <w:t xml:space="preserve">       </w:t>
            </w:r>
            <w:r w:rsidRPr="006A6C20">
              <w:rPr>
                <w:rFonts w:asciiTheme="majorHAnsi" w:hAnsiTheme="majorHAnsi" w:cstheme="majorHAnsi"/>
                <w:noProof/>
                <w:sz w:val="18"/>
                <w:lang w:eastAsia="en-AU"/>
              </w:rPr>
              <w:drawing>
                <wp:inline distT="0" distB="0" distL="0" distR="0" wp14:anchorId="795907CE" wp14:editId="678D5595">
                  <wp:extent cx="2163600" cy="1202400"/>
                  <wp:effectExtent l="0" t="0" r="825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109"/>
                          <a:stretch/>
                        </pic:blipFill>
                        <pic:spPr bwMode="auto">
                          <a:xfrm>
                            <a:off x="0" y="0"/>
                            <a:ext cx="2163600" cy="120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178C" w:rsidRPr="006A6C20" w14:paraId="4AB0BD3F" w14:textId="77777777" w:rsidTr="00FE0C40">
        <w:trPr>
          <w:cnfStyle w:val="000000010000" w:firstRow="0" w:lastRow="0" w:firstColumn="0" w:lastColumn="0" w:oddVBand="0" w:evenVBand="0" w:oddHBand="0" w:evenHBand="1" w:firstRowFirstColumn="0" w:firstRowLastColumn="0" w:lastRowFirstColumn="0" w:lastRowLastColumn="0"/>
        </w:trPr>
        <w:tc>
          <w:tcPr>
            <w:tcW w:w="2127" w:type="dxa"/>
          </w:tcPr>
          <w:p w14:paraId="00407FC5" w14:textId="77777777" w:rsidR="0048178C" w:rsidRPr="006A6C20" w:rsidRDefault="0048178C" w:rsidP="00FE0C40">
            <w:pPr>
              <w:spacing w:before="60" w:after="60"/>
              <w:rPr>
                <w:rFonts w:asciiTheme="majorHAnsi" w:hAnsiTheme="majorHAnsi" w:cstheme="majorHAnsi"/>
                <w:b/>
                <w:i/>
                <w:noProof/>
                <w:sz w:val="18"/>
                <w:vertAlign w:val="superscript"/>
                <w:lang w:eastAsia="en-AU"/>
              </w:rPr>
            </w:pPr>
            <w:r w:rsidRPr="006A6C20">
              <w:rPr>
                <w:rFonts w:asciiTheme="majorHAnsi" w:hAnsiTheme="majorHAnsi" w:cstheme="majorHAnsi"/>
                <w:b/>
                <w:i/>
                <w:noProof/>
                <w:sz w:val="18"/>
                <w:lang w:eastAsia="en-AU"/>
              </w:rPr>
              <w:t>DMX(t)</w:t>
            </w:r>
          </w:p>
          <w:p w14:paraId="45725C91" w14:textId="77777777" w:rsidR="0048178C" w:rsidRPr="006A6C20" w:rsidRDefault="0048178C" w:rsidP="00FE0C40">
            <w:pPr>
              <w:spacing w:before="60" w:after="60"/>
              <w:rPr>
                <w:rFonts w:asciiTheme="majorHAnsi" w:hAnsiTheme="majorHAnsi" w:cstheme="majorHAnsi"/>
                <w:sz w:val="18"/>
              </w:rPr>
            </w:pPr>
            <w:r w:rsidRPr="006A6C20">
              <w:rPr>
                <w:rFonts w:asciiTheme="majorHAnsi" w:hAnsiTheme="majorHAnsi" w:cstheme="majorHAnsi"/>
                <w:noProof/>
                <w:sz w:val="18"/>
                <w:lang w:eastAsia="en-AU"/>
              </w:rPr>
              <w:t xml:space="preserve">Source: SCADA metered value at the start of the </w:t>
            </w:r>
            <w:r w:rsidRPr="006A6C20">
              <w:rPr>
                <w:rFonts w:asciiTheme="majorHAnsi" w:hAnsiTheme="majorHAnsi" w:cstheme="majorHAnsi"/>
                <w:i/>
                <w:noProof/>
                <w:sz w:val="18"/>
                <w:lang w:eastAsia="en-AU"/>
              </w:rPr>
              <w:t xml:space="preserve">dispatch inteval </w:t>
            </w:r>
            <w:r w:rsidRPr="006A6C20">
              <w:rPr>
                <w:rFonts w:asciiTheme="majorHAnsi" w:hAnsiTheme="majorHAnsi" w:cstheme="majorHAnsi"/>
                <w:noProof/>
                <w:sz w:val="18"/>
                <w:lang w:eastAsia="en-AU"/>
              </w:rPr>
              <w:t>held constant for the full five-minute period.</w:t>
            </w:r>
          </w:p>
        </w:tc>
        <w:tc>
          <w:tcPr>
            <w:tcW w:w="2143" w:type="dxa"/>
          </w:tcPr>
          <w:p w14:paraId="4F5602C3" w14:textId="77777777" w:rsidR="0048178C" w:rsidRPr="006A6C20" w:rsidRDefault="0048178C" w:rsidP="00FE0C40">
            <w:pPr>
              <w:spacing w:before="60" w:after="60"/>
              <w:rPr>
                <w:rFonts w:asciiTheme="majorHAnsi" w:hAnsiTheme="majorHAnsi" w:cstheme="majorHAnsi"/>
                <w:b/>
                <w:i/>
                <w:noProof/>
                <w:sz w:val="18"/>
                <w:vertAlign w:val="superscript"/>
                <w:lang w:eastAsia="en-AU"/>
              </w:rPr>
            </w:pPr>
            <w:r w:rsidRPr="006A6C20">
              <w:rPr>
                <w:rFonts w:asciiTheme="majorHAnsi" w:hAnsiTheme="majorHAnsi" w:cstheme="majorHAnsi"/>
                <w:b/>
                <w:i/>
                <w:noProof/>
                <w:sz w:val="18"/>
                <w:lang w:eastAsia="en-AU"/>
              </w:rPr>
              <w:t>DM(t)</w:t>
            </w:r>
          </w:p>
          <w:p w14:paraId="31B4E422" w14:textId="77777777" w:rsidR="0048178C" w:rsidRPr="006A6C20" w:rsidRDefault="0048178C" w:rsidP="00FE0C40">
            <w:pPr>
              <w:spacing w:before="60" w:after="60"/>
              <w:rPr>
                <w:rFonts w:asciiTheme="majorHAnsi" w:hAnsiTheme="majorHAnsi" w:cstheme="majorHAnsi"/>
                <w:sz w:val="18"/>
              </w:rPr>
            </w:pPr>
            <w:r w:rsidRPr="006A6C20">
              <w:rPr>
                <w:rFonts w:asciiTheme="majorHAnsi" w:hAnsiTheme="majorHAnsi" w:cstheme="majorHAnsi"/>
                <w:noProof/>
                <w:sz w:val="18"/>
                <w:lang w:eastAsia="en-AU"/>
              </w:rPr>
              <w:t>Source: SCADA metered value at each four-second sample.</w:t>
            </w:r>
          </w:p>
        </w:tc>
        <w:tc>
          <w:tcPr>
            <w:tcW w:w="5040" w:type="dxa"/>
          </w:tcPr>
          <w:p w14:paraId="03A0B868" w14:textId="77777777" w:rsidR="0048178C" w:rsidRPr="000D3DA7" w:rsidRDefault="0048178C" w:rsidP="00FE0C40">
            <w:pPr>
              <w:spacing w:before="60" w:after="60"/>
              <w:jc w:val="center"/>
              <w:rPr>
                <w:rFonts w:asciiTheme="majorHAnsi" w:eastAsiaTheme="minorEastAsia" w:hAnsiTheme="majorHAnsi" w:cstheme="majorHAnsi"/>
                <w:noProof/>
                <w:sz w:val="18"/>
              </w:rPr>
            </w:pPr>
            <m:oMathPara>
              <m:oMath>
                <m:r>
                  <w:rPr>
                    <w:rFonts w:ascii="Cambria Math" w:hAnsi="Cambria Math" w:cstheme="majorHAnsi"/>
                    <w:sz w:val="18"/>
                  </w:rPr>
                  <m:t>NSM Gen Deviation=ActualGeneration-InitialMetered</m:t>
                </m:r>
              </m:oMath>
            </m:oMathPara>
          </w:p>
          <w:p w14:paraId="47CF2F45" w14:textId="77777777" w:rsidR="0048178C" w:rsidRPr="006A6C20" w:rsidRDefault="0048178C" w:rsidP="00FE0C40">
            <w:pPr>
              <w:spacing w:before="60" w:after="60"/>
              <w:jc w:val="center"/>
              <w:rPr>
                <w:rFonts w:asciiTheme="majorHAnsi" w:hAnsiTheme="majorHAnsi" w:cstheme="majorHAnsi"/>
                <w:sz w:val="18"/>
              </w:rPr>
            </w:pPr>
          </w:p>
          <w:p w14:paraId="72553A76" w14:textId="77777777" w:rsidR="0048178C" w:rsidRPr="006A6C20" w:rsidRDefault="0048178C" w:rsidP="00FE0C40">
            <w:pPr>
              <w:spacing w:before="60" w:after="60"/>
              <w:jc w:val="center"/>
              <w:rPr>
                <w:rFonts w:asciiTheme="majorHAnsi" w:hAnsiTheme="majorHAnsi" w:cstheme="majorHAnsi"/>
                <w:sz w:val="18"/>
              </w:rPr>
            </w:pPr>
            <w:r w:rsidRPr="006A6C20">
              <w:rPr>
                <w:rFonts w:asciiTheme="majorHAnsi" w:hAnsiTheme="majorHAnsi" w:cstheme="majorHAnsi"/>
                <w:b/>
                <w:sz w:val="18"/>
              </w:rPr>
              <w:t xml:space="preserve">EQ. </w:t>
            </w:r>
            <w:r w:rsidRPr="006A6C20">
              <w:rPr>
                <w:rFonts w:asciiTheme="majorHAnsi" w:hAnsiTheme="majorHAnsi" w:cstheme="majorHAnsi"/>
                <w:b/>
                <w:sz w:val="18"/>
              </w:rPr>
              <w:fldChar w:fldCharType="begin"/>
            </w:r>
            <w:r w:rsidRPr="006A6C20">
              <w:rPr>
                <w:rFonts w:asciiTheme="majorHAnsi" w:hAnsiTheme="majorHAnsi" w:cstheme="majorHAnsi"/>
                <w:b/>
                <w:sz w:val="18"/>
              </w:rPr>
              <w:instrText xml:space="preserve"> SEQ Eq. \* ARABIC </w:instrText>
            </w:r>
            <w:r w:rsidRPr="006A6C20">
              <w:rPr>
                <w:rFonts w:asciiTheme="majorHAnsi" w:hAnsiTheme="majorHAnsi" w:cstheme="majorHAnsi"/>
                <w:b/>
                <w:sz w:val="18"/>
              </w:rPr>
              <w:fldChar w:fldCharType="separate"/>
            </w:r>
            <w:r w:rsidR="003E2BF7">
              <w:rPr>
                <w:rFonts w:asciiTheme="majorHAnsi" w:hAnsiTheme="majorHAnsi" w:cstheme="majorHAnsi"/>
                <w:b/>
                <w:noProof/>
                <w:sz w:val="18"/>
              </w:rPr>
              <w:t>2</w:t>
            </w:r>
            <w:r w:rsidRPr="006A6C20">
              <w:rPr>
                <w:rFonts w:asciiTheme="majorHAnsi" w:hAnsiTheme="majorHAnsi" w:cstheme="majorHAnsi"/>
                <w:b/>
                <w:sz w:val="18"/>
              </w:rPr>
              <w:fldChar w:fldCharType="end"/>
            </w:r>
            <w:r w:rsidRPr="006A6C20">
              <w:rPr>
                <w:rFonts w:asciiTheme="majorHAnsi" w:hAnsiTheme="majorHAnsi" w:cstheme="majorHAnsi"/>
                <w:b/>
                <w:sz w:val="18"/>
              </w:rPr>
              <w:tab/>
            </w:r>
            <w:r w:rsidRPr="006A6C20">
              <w:rPr>
                <w:rFonts w:asciiTheme="majorHAnsi" w:hAnsiTheme="majorHAnsi" w:cstheme="majorHAnsi"/>
                <w:b/>
                <w:sz w:val="18"/>
              </w:rPr>
              <w:tab/>
            </w:r>
            <m:oMath>
              <m:sSub>
                <m:sSubPr>
                  <m:ctrlPr>
                    <w:rPr>
                      <w:rFonts w:ascii="Cambria Math" w:hAnsi="Cambria Math" w:cstheme="majorHAnsi"/>
                      <w:i/>
                      <w:sz w:val="18"/>
                    </w:rPr>
                  </m:ctrlPr>
                </m:sSubPr>
                <m:e>
                  <m:r>
                    <w:rPr>
                      <w:rFonts w:ascii="Cambria Math" w:hAnsi="Cambria Math" w:cstheme="majorHAnsi"/>
                      <w:sz w:val="18"/>
                    </w:rPr>
                    <m:t>E</m:t>
                  </m:r>
                </m:e>
                <m:sub>
                  <m:r>
                    <w:rPr>
                      <w:rFonts w:ascii="Cambria Math" w:hAnsi="Cambria Math" w:cstheme="majorHAnsi"/>
                      <w:sz w:val="18"/>
                    </w:rPr>
                    <m:t>NSM</m:t>
                  </m:r>
                </m:sub>
              </m:sSub>
              <m:r>
                <w:rPr>
                  <w:rFonts w:ascii="Cambria Math" w:hAnsi="Cambria Math" w:cstheme="majorHAnsi"/>
                  <w:sz w:val="18"/>
                </w:rPr>
                <m:t>(t)=DM</m:t>
              </m:r>
              <m:d>
                <m:dPr>
                  <m:ctrlPr>
                    <w:rPr>
                      <w:rFonts w:ascii="Cambria Math" w:hAnsi="Cambria Math" w:cstheme="majorHAnsi"/>
                      <w:i/>
                      <w:sz w:val="18"/>
                    </w:rPr>
                  </m:ctrlPr>
                </m:dPr>
                <m:e>
                  <m:r>
                    <w:rPr>
                      <w:rFonts w:ascii="Cambria Math" w:hAnsi="Cambria Math" w:cstheme="majorHAnsi"/>
                      <w:sz w:val="18"/>
                    </w:rPr>
                    <m:t>t</m:t>
                  </m:r>
                </m:e>
              </m:d>
              <m:r>
                <w:rPr>
                  <w:rFonts w:ascii="Cambria Math" w:hAnsi="Cambria Math" w:cstheme="majorHAnsi"/>
                  <w:sz w:val="18"/>
                </w:rPr>
                <m:t>-DMX</m:t>
              </m:r>
              <m:d>
                <m:dPr>
                  <m:ctrlPr>
                    <w:rPr>
                      <w:rFonts w:ascii="Cambria Math" w:hAnsi="Cambria Math" w:cstheme="majorHAnsi"/>
                      <w:i/>
                      <w:sz w:val="18"/>
                    </w:rPr>
                  </m:ctrlPr>
                </m:dPr>
                <m:e>
                  <m:r>
                    <w:rPr>
                      <w:rFonts w:ascii="Cambria Math" w:hAnsi="Cambria Math" w:cstheme="majorHAnsi"/>
                      <w:sz w:val="18"/>
                    </w:rPr>
                    <m:t>t</m:t>
                  </m:r>
                </m:e>
              </m:d>
            </m:oMath>
          </w:p>
        </w:tc>
      </w:tr>
    </w:tbl>
    <w:p w14:paraId="5DC7E0F9" w14:textId="144C3FB4" w:rsidR="0048178C" w:rsidRDefault="0048178C" w:rsidP="00470629">
      <w:pPr>
        <w:pStyle w:val="TableTitle"/>
      </w:pPr>
    </w:p>
    <w:p w14:paraId="4C34A392" w14:textId="7EC9E96A" w:rsidR="003B7E7B" w:rsidRDefault="003B7E7B" w:rsidP="003B7E7B">
      <w:pPr>
        <w:pStyle w:val="Heading3"/>
      </w:pPr>
      <w:r>
        <w:t>Residual demand components</w:t>
      </w:r>
    </w:p>
    <w:p w14:paraId="230C8278" w14:textId="2CCC805B" w:rsidR="003B7E7B" w:rsidRDefault="003B7E7B" w:rsidP="003B7E7B">
      <w:pPr>
        <w:pStyle w:val="ResetPara"/>
      </w:pPr>
    </w:p>
    <w:p w14:paraId="4E076BDF" w14:textId="77777777" w:rsidR="003B7E7B" w:rsidRDefault="003B7E7B" w:rsidP="003B7E7B">
      <w:pPr>
        <w:pStyle w:val="Lista"/>
      </w:pPr>
      <w:r>
        <w:t>T</w:t>
      </w:r>
      <w:r w:rsidRPr="003B7E7B">
        <w:t xml:space="preserve">here are two </w:t>
      </w:r>
      <w:r w:rsidRPr="003B7E7B">
        <w:rPr>
          <w:i/>
        </w:rPr>
        <w:t>region</w:t>
      </w:r>
      <w:r>
        <w:t>-</w:t>
      </w:r>
      <w:r w:rsidRPr="003B7E7B">
        <w:t xml:space="preserve">specific trajectories used in calculating and allocating a residual component to </w:t>
      </w:r>
      <w:r w:rsidRPr="003B7E7B">
        <w:rPr>
          <w:i/>
        </w:rPr>
        <w:t>generating units</w:t>
      </w:r>
      <w:r w:rsidRPr="003B7E7B">
        <w:t xml:space="preserve"> and </w:t>
      </w:r>
      <w:r w:rsidRPr="003B7E7B">
        <w:rPr>
          <w:i/>
        </w:rPr>
        <w:t>loads</w:t>
      </w:r>
      <w:r w:rsidRPr="003B7E7B">
        <w:t xml:space="preserve"> </w:t>
      </w:r>
      <w:r>
        <w:t>without</w:t>
      </w:r>
      <w:r w:rsidRPr="003B7E7B">
        <w:t xml:space="preserve"> appropriate metering. </w:t>
      </w:r>
    </w:p>
    <w:p w14:paraId="62EDA86E" w14:textId="77777777" w:rsidR="003B7E7B" w:rsidRDefault="003B7E7B" w:rsidP="003B7E7B">
      <w:pPr>
        <w:pStyle w:val="Lista"/>
      </w:pPr>
      <w:r w:rsidRPr="003B7E7B">
        <w:t>These compon</w:t>
      </w:r>
      <w:r>
        <w:t>ents require the calculation of:</w:t>
      </w:r>
    </w:p>
    <w:p w14:paraId="6368BF4E" w14:textId="77777777" w:rsidR="003B7E7B" w:rsidRDefault="003B7E7B" w:rsidP="003B7E7B">
      <w:pPr>
        <w:pStyle w:val="Listi"/>
      </w:pPr>
      <w:r w:rsidRPr="003B7E7B">
        <w:t xml:space="preserve">four-second </w:t>
      </w:r>
      <w:r w:rsidRPr="003B7E7B">
        <w:rPr>
          <w:i/>
        </w:rPr>
        <w:t>regional</w:t>
      </w:r>
      <w:r w:rsidRPr="003B7E7B">
        <w:t xml:space="preserve"> demand from SCADA measurements of </w:t>
      </w:r>
      <w:r w:rsidRPr="003B7E7B">
        <w:rPr>
          <w:i/>
        </w:rPr>
        <w:t>generation</w:t>
      </w:r>
      <w:r>
        <w:t>;</w:t>
      </w:r>
      <w:r w:rsidRPr="003B7E7B">
        <w:t xml:space="preserve"> and</w:t>
      </w:r>
    </w:p>
    <w:p w14:paraId="63209CE0" w14:textId="59240238" w:rsidR="003B7E7B" w:rsidRDefault="003B7E7B" w:rsidP="003B7E7B">
      <w:pPr>
        <w:pStyle w:val="Listi"/>
      </w:pPr>
      <w:r w:rsidRPr="003B7E7B">
        <w:rPr>
          <w:i/>
        </w:rPr>
        <w:t>interconnector</w:t>
      </w:r>
      <w:r w:rsidRPr="003B7E7B">
        <w:t xml:space="preserve"> flow corrected for </w:t>
      </w:r>
      <w:r w:rsidRPr="003B7E7B">
        <w:rPr>
          <w:i/>
        </w:rPr>
        <w:t>inter</w:t>
      </w:r>
      <w:r w:rsidR="00D80A7C">
        <w:rPr>
          <w:i/>
        </w:rPr>
        <w:t>-</w:t>
      </w:r>
      <w:r w:rsidRPr="003B7E7B">
        <w:rPr>
          <w:i/>
        </w:rPr>
        <w:t>regional losses</w:t>
      </w:r>
      <w:r w:rsidR="00EC7113">
        <w:t>.</w:t>
      </w:r>
    </w:p>
    <w:p w14:paraId="6A6ED379" w14:textId="2E7B3E7B" w:rsidR="003B7E7B" w:rsidRDefault="003B7E7B" w:rsidP="003B7E7B">
      <w:pPr>
        <w:pStyle w:val="Lista"/>
      </w:pPr>
      <w:r>
        <w:t xml:space="preserve">The two reference trajectories </w:t>
      </w:r>
      <w:r w:rsidR="00CD74B7">
        <w:t>represent the non-linearity of demand and the forecast error</w:t>
      </w:r>
      <w:r w:rsidR="008C137C">
        <w:t xml:space="preserve">. They are </w:t>
      </w:r>
      <w:r w:rsidR="00EC7113">
        <w:t xml:space="preserve">determined in accordance with clauses </w:t>
      </w:r>
      <w:r w:rsidR="00EC7113">
        <w:fldChar w:fldCharType="begin"/>
      </w:r>
      <w:r w:rsidR="00EC7113">
        <w:instrText xml:space="preserve"> REF _Ref506844678 \r \h </w:instrText>
      </w:r>
      <w:r w:rsidR="00EC7113">
        <w:fldChar w:fldCharType="separate"/>
      </w:r>
      <w:r w:rsidR="003E2BF7">
        <w:t>5.1.4</w:t>
      </w:r>
      <w:r w:rsidR="00EC7113">
        <w:fldChar w:fldCharType="end"/>
      </w:r>
      <w:r w:rsidR="00EC7113">
        <w:t xml:space="preserve"> to </w:t>
      </w:r>
      <w:r w:rsidR="00EC7113">
        <w:fldChar w:fldCharType="begin"/>
      </w:r>
      <w:r w:rsidR="00EC7113">
        <w:instrText xml:space="preserve"> REF _Ref506844705 \r \h </w:instrText>
      </w:r>
      <w:r w:rsidR="00EC7113">
        <w:fldChar w:fldCharType="separate"/>
      </w:r>
      <w:r w:rsidR="003E2BF7">
        <w:t>5.1.7</w:t>
      </w:r>
      <w:r w:rsidR="00EC7113">
        <w:fldChar w:fldCharType="end"/>
      </w:r>
      <w:r w:rsidR="008C137C">
        <w:t xml:space="preserve"> and </w:t>
      </w:r>
      <w:r>
        <w:t xml:space="preserve">illustrated in </w:t>
      </w:r>
      <w:r w:rsidR="00CD74B7">
        <w:t xml:space="preserve">Tables 4 and 5 respectively. </w:t>
      </w:r>
    </w:p>
    <w:p w14:paraId="1ACD999B" w14:textId="77777777" w:rsidR="00946645" w:rsidRDefault="00946645" w:rsidP="00946645">
      <w:pPr>
        <w:pStyle w:val="Heading3"/>
        <w:rPr>
          <w:lang w:eastAsia="en-AU"/>
        </w:rPr>
      </w:pPr>
      <w:bookmarkStart w:id="35" w:name="_Ref506844678"/>
      <w:r>
        <w:rPr>
          <w:lang w:eastAsia="en-AU"/>
        </w:rPr>
        <w:t>Step 1 - Estimate actual 4-second interconnector loss</w:t>
      </w:r>
      <w:bookmarkEnd w:id="35"/>
    </w:p>
    <w:p w14:paraId="5C8A8688" w14:textId="77777777" w:rsidR="00946645" w:rsidRPr="00D92EB4" w:rsidRDefault="00946645" w:rsidP="00946645">
      <w:pPr>
        <w:pStyle w:val="ResetPara"/>
        <w:rPr>
          <w:lang w:eastAsia="en-AU"/>
        </w:rPr>
      </w:pPr>
    </w:p>
    <w:p w14:paraId="4957E43A" w14:textId="1D80978F" w:rsidR="00946645" w:rsidRPr="00CF5853" w:rsidRDefault="00946645" w:rsidP="00946645">
      <w:pPr>
        <w:pStyle w:val="ParaFlw0"/>
        <w:rPr>
          <w:lang w:eastAsia="en-AU"/>
        </w:rPr>
      </w:pPr>
      <w:r w:rsidRPr="00CF5853">
        <w:rPr>
          <w:lang w:eastAsia="en-AU"/>
        </w:rPr>
        <w:t xml:space="preserve">Although </w:t>
      </w:r>
      <w:r w:rsidRPr="00D92EB4">
        <w:rPr>
          <w:i/>
          <w:lang w:eastAsia="en-AU"/>
        </w:rPr>
        <w:t>generation</w:t>
      </w:r>
      <w:r w:rsidRPr="00CF5853">
        <w:rPr>
          <w:lang w:eastAsia="en-AU"/>
        </w:rPr>
        <w:t xml:space="preserve"> and </w:t>
      </w:r>
      <w:r w:rsidRPr="00D92EB4">
        <w:rPr>
          <w:i/>
          <w:lang w:eastAsia="en-AU"/>
        </w:rPr>
        <w:t>interconnector</w:t>
      </w:r>
      <w:r w:rsidRPr="00CF5853">
        <w:rPr>
          <w:lang w:eastAsia="en-AU"/>
        </w:rPr>
        <w:t xml:space="preserve"> flow</w:t>
      </w:r>
      <w:r w:rsidR="008850D9">
        <w:rPr>
          <w:lang w:eastAsia="en-AU"/>
        </w:rPr>
        <w:t>s</w:t>
      </w:r>
      <w:r w:rsidRPr="00CF5853">
        <w:rPr>
          <w:lang w:eastAsia="en-AU"/>
        </w:rPr>
        <w:t xml:space="preserve"> at the </w:t>
      </w:r>
      <w:r w:rsidRPr="00D92EB4">
        <w:rPr>
          <w:i/>
          <w:lang w:eastAsia="en-AU"/>
        </w:rPr>
        <w:t>regional</w:t>
      </w:r>
      <w:r w:rsidRPr="00CF5853">
        <w:rPr>
          <w:lang w:eastAsia="en-AU"/>
        </w:rPr>
        <w:t xml:space="preserve"> boundary are available from SCADA data, there are no measured losses. Therefore, </w:t>
      </w:r>
      <w:r>
        <w:rPr>
          <w:lang w:eastAsia="en-AU"/>
        </w:rPr>
        <w:t>4</w:t>
      </w:r>
      <w:r w:rsidRPr="00CF5853">
        <w:rPr>
          <w:lang w:eastAsia="en-AU"/>
        </w:rPr>
        <w:t xml:space="preserve">-second </w:t>
      </w:r>
      <w:r w:rsidRPr="00D92EB4">
        <w:rPr>
          <w:i/>
          <w:lang w:eastAsia="en-AU"/>
        </w:rPr>
        <w:t>interconnector</w:t>
      </w:r>
      <w:r w:rsidRPr="00CF5853">
        <w:rPr>
          <w:lang w:eastAsia="en-AU"/>
        </w:rPr>
        <w:t xml:space="preserve"> loss is estimated as follows:</w:t>
      </w:r>
    </w:p>
    <w:p w14:paraId="4BDB5039" w14:textId="0D5A94F5" w:rsidR="00946645" w:rsidRPr="00CF5853" w:rsidRDefault="00946645" w:rsidP="00946645">
      <w:pPr>
        <w:pStyle w:val="BodyText"/>
        <w:rPr>
          <w:lang w:eastAsia="en-AU"/>
        </w:rPr>
      </w:pPr>
      <m:oMathPara>
        <m:oMath>
          <m:r>
            <w:rPr>
              <w:rFonts w:ascii="Cambria Math" w:hAnsi="Cambria Math"/>
              <w:lang w:eastAsia="en-AU"/>
            </w:rPr>
            <m:t>ActualLoss=ExpectedLoss+MLF×</m:t>
          </m:r>
          <m:d>
            <m:dPr>
              <m:ctrlPr>
                <w:rPr>
                  <w:rFonts w:ascii="Cambria Math" w:hAnsi="Cambria Math"/>
                  <w:i/>
                  <w:lang w:eastAsia="en-AU"/>
                </w:rPr>
              </m:ctrlPr>
            </m:dPr>
            <m:e>
              <m:r>
                <w:rPr>
                  <w:rFonts w:ascii="Cambria Math" w:hAnsi="Cambria Math"/>
                  <w:lang w:eastAsia="en-AU"/>
                </w:rPr>
                <m:t>ActualFlow-ExpectedFlow</m:t>
              </m:r>
            </m:e>
          </m:d>
        </m:oMath>
      </m:oMathPara>
    </w:p>
    <w:p w14:paraId="37A17BAA" w14:textId="67112CAE" w:rsidR="00946645" w:rsidRPr="00CF5853" w:rsidRDefault="00946645" w:rsidP="00946645">
      <w:pPr>
        <w:pStyle w:val="ParaFlw0"/>
        <w:rPr>
          <w:lang w:eastAsia="en-AU"/>
        </w:rPr>
      </w:pPr>
      <w:bookmarkStart w:id="36" w:name="_Ref474500979"/>
      <w:bookmarkStart w:id="37" w:name="_Ref474500401"/>
      <w:r w:rsidRPr="00CF5853">
        <w:rPr>
          <w:b/>
          <w:lang w:eastAsia="en-AU"/>
        </w:rPr>
        <w:t xml:space="preserve">EQ. </w:t>
      </w:r>
      <w:r w:rsidRPr="00CF5853">
        <w:rPr>
          <w:b/>
          <w:lang w:eastAsia="en-AU"/>
        </w:rPr>
        <w:fldChar w:fldCharType="begin"/>
      </w:r>
      <w:r w:rsidRPr="00CF5853">
        <w:rPr>
          <w:b/>
          <w:lang w:eastAsia="en-AU"/>
        </w:rPr>
        <w:instrText xml:space="preserve"> SEQ Eq. \* ARABIC </w:instrText>
      </w:r>
      <w:r w:rsidRPr="00CF5853">
        <w:rPr>
          <w:b/>
          <w:lang w:eastAsia="en-AU"/>
        </w:rPr>
        <w:fldChar w:fldCharType="separate"/>
      </w:r>
      <w:r w:rsidR="003E2BF7">
        <w:rPr>
          <w:b/>
          <w:noProof/>
          <w:lang w:eastAsia="en-AU"/>
        </w:rPr>
        <w:t>3</w:t>
      </w:r>
      <w:r w:rsidRPr="00CF5853">
        <w:rPr>
          <w:lang w:eastAsia="en-AU"/>
        </w:rPr>
        <w:fldChar w:fldCharType="end"/>
      </w:r>
      <w:bookmarkEnd w:id="36"/>
      <w:r w:rsidRPr="00CF5853">
        <w:rPr>
          <w:b/>
          <w:lang w:eastAsia="en-AU"/>
        </w:rPr>
        <w:tab/>
      </w:r>
      <w:r w:rsidRPr="00CF5853">
        <w:rPr>
          <w:b/>
          <w:lang w:eastAsia="en-AU"/>
        </w:rPr>
        <w:tab/>
      </w:r>
      <m:oMath>
        <m:r>
          <w:rPr>
            <w:rFonts w:ascii="Cambria Math" w:hAnsi="Cambria Math"/>
            <w:lang w:eastAsia="en-AU"/>
          </w:rPr>
          <m:t>IRL</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r>
          <w:rPr>
            <w:rFonts w:ascii="Cambria Math" w:hAnsi="Cambria Math"/>
            <w:lang w:eastAsia="en-AU"/>
          </w:rPr>
          <m:t>IRLB</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r>
          <w:rPr>
            <w:rFonts w:ascii="Cambria Math" w:hAnsi="Cambria Math"/>
            <w:lang w:eastAsia="en-AU"/>
          </w:rPr>
          <m:t>MLF</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d>
          <m:dPr>
            <m:ctrlPr>
              <w:rPr>
                <w:rFonts w:ascii="Cambria Math" w:hAnsi="Cambria Math"/>
                <w:lang w:eastAsia="en-AU"/>
              </w:rPr>
            </m:ctrlPr>
          </m:dPr>
          <m:e>
            <m:r>
              <w:rPr>
                <w:rFonts w:ascii="Cambria Math" w:hAnsi="Cambria Math"/>
                <w:lang w:eastAsia="en-AU"/>
              </w:rPr>
              <m:t>IRE</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r>
              <w:rPr>
                <w:rFonts w:ascii="Cambria Math" w:hAnsi="Cambria Math"/>
                <w:lang w:eastAsia="en-AU"/>
              </w:rPr>
              <m:t>IREB</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e>
        </m:d>
      </m:oMath>
      <w:bookmarkEnd w:id="37"/>
    </w:p>
    <w:p w14:paraId="4912043F" w14:textId="77777777" w:rsidR="00946645" w:rsidRPr="00CF5853" w:rsidRDefault="00946645" w:rsidP="00946645">
      <w:pPr>
        <w:pStyle w:val="ParaFlw0"/>
        <w:rPr>
          <w:lang w:eastAsia="en-AU"/>
        </w:rPr>
      </w:pPr>
      <w:r w:rsidRPr="00CF5853">
        <w:rPr>
          <w:lang w:eastAsia="en-AU"/>
        </w:rPr>
        <w:t>Where:</w:t>
      </w:r>
    </w:p>
    <w:p w14:paraId="5339B668" w14:textId="77777777" w:rsidR="00946645" w:rsidRPr="00CF5853" w:rsidRDefault="00946645" w:rsidP="00946645">
      <w:pPr>
        <w:pStyle w:val="Lista"/>
        <w:rPr>
          <w:lang w:eastAsia="en-AU"/>
        </w:rPr>
      </w:pPr>
      <w:r w:rsidRPr="00CF5853">
        <w:rPr>
          <w:b/>
          <w:i/>
          <w:lang w:eastAsia="en-AU"/>
        </w:rPr>
        <w:t>IRL</w:t>
      </w:r>
      <w:r w:rsidRPr="00CF5853">
        <w:rPr>
          <w:lang w:eastAsia="en-AU"/>
        </w:rPr>
        <w:t xml:space="preserve"> is the four-second estimated </w:t>
      </w:r>
      <w:r>
        <w:rPr>
          <w:i/>
          <w:lang w:eastAsia="en-AU"/>
        </w:rPr>
        <w:t xml:space="preserve">interconnector </w:t>
      </w:r>
      <w:r w:rsidRPr="00CF5853">
        <w:rPr>
          <w:lang w:eastAsia="en-AU"/>
        </w:rPr>
        <w:t>loss, used in subsequent demand calculations.</w:t>
      </w:r>
    </w:p>
    <w:p w14:paraId="6817A598" w14:textId="02B7FD98" w:rsidR="00946645" w:rsidRPr="00CF5853" w:rsidRDefault="00946645" w:rsidP="00946645">
      <w:pPr>
        <w:pStyle w:val="Lista"/>
        <w:rPr>
          <w:lang w:eastAsia="en-AU"/>
        </w:rPr>
      </w:pPr>
      <w:r w:rsidRPr="00CF5853">
        <w:rPr>
          <w:b/>
          <w:i/>
          <w:lang w:eastAsia="en-AU"/>
        </w:rPr>
        <w:t>IRLB</w:t>
      </w:r>
      <w:r w:rsidRPr="00CF5853">
        <w:rPr>
          <w:lang w:eastAsia="en-AU"/>
        </w:rPr>
        <w:t xml:space="preserve"> is the expected (base) loss, based on a straight line trajectory between the five-minute MWLOSS values recorded in the </w:t>
      </w:r>
      <w:r w:rsidR="008850D9" w:rsidRPr="008B7804">
        <w:rPr>
          <w:i/>
          <w:lang w:eastAsia="en-AU"/>
        </w:rPr>
        <w:t>market</w:t>
      </w:r>
      <w:r w:rsidR="008850D9">
        <w:rPr>
          <w:lang w:eastAsia="en-AU"/>
        </w:rPr>
        <w:t xml:space="preserve"> dispatch data</w:t>
      </w:r>
      <w:r w:rsidRPr="00CF5853">
        <w:rPr>
          <w:lang w:eastAsia="en-AU"/>
        </w:rPr>
        <w:t xml:space="preserve">. This represents the loss NEMDE expected to occur had the </w:t>
      </w:r>
      <w:r w:rsidRPr="00551AD8">
        <w:rPr>
          <w:i/>
          <w:lang w:eastAsia="en-AU"/>
        </w:rPr>
        <w:t xml:space="preserve">interconnector </w:t>
      </w:r>
      <w:r>
        <w:rPr>
          <w:lang w:eastAsia="en-AU"/>
        </w:rPr>
        <w:t>flow moved linearly between it</w:t>
      </w:r>
      <w:r w:rsidRPr="00CF5853">
        <w:rPr>
          <w:lang w:eastAsia="en-AU"/>
        </w:rPr>
        <w:t xml:space="preserve">s </w:t>
      </w:r>
      <w:r w:rsidR="008850D9">
        <w:rPr>
          <w:lang w:eastAsia="en-AU"/>
        </w:rPr>
        <w:t xml:space="preserve">energy </w:t>
      </w:r>
      <w:r w:rsidRPr="00CF5853">
        <w:rPr>
          <w:lang w:eastAsia="en-AU"/>
        </w:rPr>
        <w:t>targets</w:t>
      </w:r>
      <w:r w:rsidR="008B7804">
        <w:rPr>
          <w:lang w:eastAsia="en-AU"/>
        </w:rPr>
        <w:t xml:space="preserve"> for consecutive DIs</w:t>
      </w:r>
      <w:r w:rsidRPr="00CF5853">
        <w:rPr>
          <w:lang w:eastAsia="en-AU"/>
        </w:rPr>
        <w:t>.</w:t>
      </w:r>
    </w:p>
    <w:p w14:paraId="6E38B50C" w14:textId="790C56F8" w:rsidR="00946645" w:rsidRPr="00CF5853" w:rsidRDefault="00946645" w:rsidP="00946645">
      <w:pPr>
        <w:pStyle w:val="Lista"/>
        <w:rPr>
          <w:lang w:eastAsia="en-AU"/>
        </w:rPr>
      </w:pPr>
      <w:r w:rsidRPr="00CF5853">
        <w:rPr>
          <w:b/>
          <w:i/>
          <w:lang w:eastAsia="en-AU"/>
        </w:rPr>
        <w:t>MLF</w:t>
      </w:r>
      <w:r w:rsidRPr="00CF5853">
        <w:rPr>
          <w:lang w:eastAsia="en-AU"/>
        </w:rPr>
        <w:t xml:space="preserve"> is the </w:t>
      </w:r>
      <w:r w:rsidRPr="00551AD8">
        <w:rPr>
          <w:i/>
          <w:lang w:eastAsia="en-AU"/>
        </w:rPr>
        <w:t>marginal loss factor</w:t>
      </w:r>
      <w:r w:rsidRPr="00CF5853">
        <w:rPr>
          <w:lang w:eastAsia="en-AU"/>
        </w:rPr>
        <w:t xml:space="preserve"> for the </w:t>
      </w:r>
      <w:r w:rsidRPr="00551AD8">
        <w:rPr>
          <w:i/>
          <w:lang w:eastAsia="en-AU"/>
        </w:rPr>
        <w:t>interconnector</w:t>
      </w:r>
      <w:r w:rsidRPr="00CF5853">
        <w:rPr>
          <w:lang w:eastAsia="en-AU"/>
        </w:rPr>
        <w:t xml:space="preserve">. MLF is estimated </w:t>
      </w:r>
      <w:r>
        <w:rPr>
          <w:lang w:eastAsia="en-AU"/>
        </w:rPr>
        <w:t xml:space="preserve">every 4 seconds </w:t>
      </w:r>
      <w:r w:rsidRPr="00CF5853">
        <w:rPr>
          <w:lang w:eastAsia="en-AU"/>
        </w:rPr>
        <w:t xml:space="preserve">as the linear interpolation between MLFs calculated at </w:t>
      </w:r>
      <w:r>
        <w:rPr>
          <w:lang w:eastAsia="en-AU"/>
        </w:rPr>
        <w:t xml:space="preserve">the </w:t>
      </w:r>
      <w:r w:rsidRPr="00CF5853">
        <w:rPr>
          <w:lang w:eastAsia="en-AU"/>
        </w:rPr>
        <w:t xml:space="preserve">start and end of the </w:t>
      </w:r>
      <w:r>
        <w:rPr>
          <w:lang w:eastAsia="en-AU"/>
        </w:rPr>
        <w:t xml:space="preserve">relevant </w:t>
      </w:r>
      <w:r w:rsidRPr="00CF5853">
        <w:rPr>
          <w:lang w:eastAsia="en-AU"/>
        </w:rPr>
        <w:lastRenderedPageBreak/>
        <w:t xml:space="preserve">DI (by substituting scheduled flow and demand values </w:t>
      </w:r>
      <w:r w:rsidR="00014B14">
        <w:rPr>
          <w:lang w:eastAsia="en-AU"/>
        </w:rPr>
        <w:t xml:space="preserve">in </w:t>
      </w:r>
      <w:r w:rsidR="008850D9">
        <w:rPr>
          <w:lang w:eastAsia="en-AU"/>
        </w:rPr>
        <w:t xml:space="preserve">the </w:t>
      </w:r>
      <w:r w:rsidRPr="00551AD8">
        <w:rPr>
          <w:i/>
          <w:lang w:eastAsia="en-AU"/>
        </w:rPr>
        <w:t>interconnector</w:t>
      </w:r>
      <w:r w:rsidRPr="00CF5853">
        <w:rPr>
          <w:lang w:eastAsia="en-AU"/>
        </w:rPr>
        <w:t xml:space="preserve"> loss equation</w:t>
      </w:r>
      <w:r w:rsidR="008850D9">
        <w:rPr>
          <w:lang w:eastAsia="en-AU"/>
        </w:rPr>
        <w:t>s</w:t>
      </w:r>
      <w:r w:rsidRPr="00CF5853">
        <w:rPr>
          <w:lang w:eastAsia="en-AU"/>
        </w:rPr>
        <w:t xml:space="preserve">.)  </w:t>
      </w:r>
    </w:p>
    <w:p w14:paraId="10867EBB" w14:textId="77777777" w:rsidR="00946645" w:rsidRPr="00CF5853" w:rsidRDefault="00946645" w:rsidP="00946645">
      <w:pPr>
        <w:pStyle w:val="Lista"/>
        <w:rPr>
          <w:lang w:eastAsia="en-AU"/>
        </w:rPr>
      </w:pPr>
      <w:r w:rsidRPr="00CF5853">
        <w:rPr>
          <w:b/>
          <w:i/>
          <w:lang w:eastAsia="en-AU"/>
        </w:rPr>
        <w:t>IRE</w:t>
      </w:r>
      <w:r w:rsidRPr="00CF5853">
        <w:rPr>
          <w:lang w:eastAsia="en-AU"/>
        </w:rPr>
        <w:t xml:space="preserve"> is the actual SCADA metered value of interconnector flow.</w:t>
      </w:r>
    </w:p>
    <w:p w14:paraId="12B878AB" w14:textId="631840F9" w:rsidR="00946645" w:rsidRPr="00CF5853" w:rsidRDefault="00946645" w:rsidP="00946645">
      <w:pPr>
        <w:pStyle w:val="Lista"/>
        <w:rPr>
          <w:lang w:eastAsia="en-AU"/>
        </w:rPr>
      </w:pPr>
      <w:r w:rsidRPr="00CF5853">
        <w:rPr>
          <w:b/>
          <w:i/>
          <w:lang w:eastAsia="en-AU"/>
        </w:rPr>
        <w:t>IREB</w:t>
      </w:r>
      <w:r w:rsidRPr="00CF5853">
        <w:rPr>
          <w:lang w:eastAsia="en-AU"/>
        </w:rPr>
        <w:t xml:space="preserve"> is the expected (base) flow, based on a straight line trajectory between the five-minute MWFLOW values recorded in the </w:t>
      </w:r>
      <w:r w:rsidR="00737624" w:rsidRPr="008B7804">
        <w:rPr>
          <w:i/>
          <w:lang w:eastAsia="en-AU"/>
        </w:rPr>
        <w:t>market</w:t>
      </w:r>
      <w:r w:rsidR="00737624">
        <w:rPr>
          <w:lang w:eastAsia="en-AU"/>
        </w:rPr>
        <w:t xml:space="preserve"> dispatch data</w:t>
      </w:r>
      <w:r w:rsidR="00737624" w:rsidRPr="00CF5853" w:rsidDel="00737624">
        <w:rPr>
          <w:lang w:eastAsia="en-AU"/>
        </w:rPr>
        <w:t xml:space="preserve"> </w:t>
      </w:r>
      <w:r w:rsidRPr="00CF5853">
        <w:rPr>
          <w:lang w:eastAsia="en-AU"/>
        </w:rPr>
        <w:t xml:space="preserve">of AEMO’s MMS. This represents the flow NEMDE expected to occur had the </w:t>
      </w:r>
      <w:r w:rsidRPr="00551AD8">
        <w:rPr>
          <w:i/>
          <w:lang w:eastAsia="en-AU"/>
        </w:rPr>
        <w:t xml:space="preserve">interconnector </w:t>
      </w:r>
      <w:r w:rsidRPr="00CF5853">
        <w:rPr>
          <w:lang w:eastAsia="en-AU"/>
        </w:rPr>
        <w:t xml:space="preserve">moved linearly between its targets – and is the basis for NEMDE’s IRLB (expected loss) calculations. </w:t>
      </w:r>
    </w:p>
    <w:p w14:paraId="49F9FC75" w14:textId="77777777" w:rsidR="00946645" w:rsidRDefault="00946645" w:rsidP="00946645">
      <w:pPr>
        <w:pStyle w:val="Heading3"/>
        <w:rPr>
          <w:lang w:eastAsia="en-AU"/>
        </w:rPr>
      </w:pPr>
      <w:r>
        <w:rPr>
          <w:lang w:eastAsia="en-AU"/>
        </w:rPr>
        <w:t>Step 2 - Calculate 4-second regional demand</w:t>
      </w:r>
    </w:p>
    <w:p w14:paraId="1656E129" w14:textId="77777777" w:rsidR="00946645" w:rsidRPr="00D92EB4" w:rsidRDefault="00946645" w:rsidP="00946645">
      <w:pPr>
        <w:pStyle w:val="ResetPara"/>
        <w:rPr>
          <w:lang w:eastAsia="en-AU"/>
        </w:rPr>
      </w:pPr>
    </w:p>
    <w:p w14:paraId="1E088E68" w14:textId="77777777" w:rsidR="00946645" w:rsidRPr="00CF5853" w:rsidRDefault="00946645" w:rsidP="00946645">
      <w:pPr>
        <w:pStyle w:val="TxtFlw0"/>
        <w:rPr>
          <w:lang w:eastAsia="en-AU"/>
        </w:rPr>
      </w:pPr>
      <w:r w:rsidRPr="00CF5853">
        <w:rPr>
          <w:lang w:eastAsia="en-AU"/>
        </w:rPr>
        <w:t>Once IRL has been determined, four-second regional demand is calculated as follows:</w:t>
      </w:r>
    </w:p>
    <w:p w14:paraId="494BDB36" w14:textId="77777777" w:rsidR="00946645" w:rsidRPr="00CF5853" w:rsidRDefault="00946645" w:rsidP="00946645">
      <w:pPr>
        <w:pStyle w:val="TxtFlw0"/>
        <w:rPr>
          <w:lang w:eastAsia="en-AU"/>
        </w:rPr>
      </w:pPr>
      <m:oMath>
        <m:r>
          <w:rPr>
            <w:rFonts w:ascii="Cambria Math" w:hAnsi="Cambria Math"/>
            <w:lang w:eastAsia="en-AU"/>
          </w:rPr>
          <m:t>Demand</m:t>
        </m:r>
        <m:r>
          <m:rPr>
            <m:sty m:val="p"/>
          </m:rPr>
          <w:rPr>
            <w:rFonts w:ascii="Cambria Math" w:hAnsi="Cambria Math"/>
            <w:lang w:eastAsia="en-AU"/>
          </w:rPr>
          <m:t>=</m:t>
        </m:r>
        <m:nary>
          <m:naryPr>
            <m:chr m:val="∑"/>
            <m:limLoc m:val="undOvr"/>
            <m:supHide m:val="1"/>
            <m:ctrlPr>
              <w:rPr>
                <w:rFonts w:ascii="Cambria Math" w:hAnsi="Cambria Math"/>
                <w:lang w:eastAsia="en-AU"/>
              </w:rPr>
            </m:ctrlPr>
          </m:naryPr>
          <m:sub/>
          <m:sup/>
          <m:e>
            <m:r>
              <w:rPr>
                <w:rFonts w:ascii="Cambria Math" w:hAnsi="Cambria Math"/>
                <w:lang w:eastAsia="en-AU"/>
              </w:rPr>
              <m:t>LocalGeneration</m:t>
            </m:r>
            <m:d>
              <m:dPr>
                <m:ctrlPr>
                  <w:rPr>
                    <w:rFonts w:ascii="Cambria Math" w:hAnsi="Cambria Math"/>
                    <w:lang w:eastAsia="en-AU"/>
                  </w:rPr>
                </m:ctrlPr>
              </m:dPr>
              <m:e>
                <m:r>
                  <w:rPr>
                    <w:rFonts w:ascii="Cambria Math" w:hAnsi="Cambria Math"/>
                    <w:lang w:eastAsia="en-AU"/>
                  </w:rPr>
                  <m:t>t</m:t>
                </m:r>
              </m:e>
            </m:d>
          </m:e>
        </m:nary>
        <m:r>
          <m:rPr>
            <m:sty m:val="p"/>
          </m:rPr>
          <w:rPr>
            <w:rFonts w:ascii="Cambria Math" w:hAnsi="Cambria Math"/>
            <w:lang w:eastAsia="en-AU"/>
          </w:rPr>
          <m:t>-</m:t>
        </m:r>
        <m:nary>
          <m:naryPr>
            <m:chr m:val="∑"/>
            <m:limLoc m:val="undOvr"/>
            <m:supHide m:val="1"/>
            <m:ctrlPr>
              <w:rPr>
                <w:rFonts w:ascii="Cambria Math" w:hAnsi="Cambria Math"/>
                <w:lang w:eastAsia="en-AU"/>
              </w:rPr>
            </m:ctrlPr>
          </m:naryPr>
          <m:sub/>
          <m:sup/>
          <m:e>
            <m:r>
              <w:rPr>
                <w:rFonts w:ascii="Cambria Math" w:hAnsi="Cambria Math"/>
                <w:lang w:eastAsia="en-AU"/>
              </w:rPr>
              <m:t>RegionExports</m:t>
            </m:r>
            <m:d>
              <m:dPr>
                <m:ctrlPr>
                  <w:rPr>
                    <w:rFonts w:ascii="Cambria Math" w:hAnsi="Cambria Math"/>
                    <w:lang w:eastAsia="en-AU"/>
                  </w:rPr>
                </m:ctrlPr>
              </m:dPr>
              <m:e>
                <m:r>
                  <w:rPr>
                    <w:rFonts w:ascii="Cambria Math" w:hAnsi="Cambria Math"/>
                    <w:lang w:eastAsia="en-AU"/>
                  </w:rPr>
                  <m:t>t</m:t>
                </m:r>
              </m:e>
            </m:d>
          </m:e>
        </m:nary>
        <m:r>
          <m:rPr>
            <m:sty m:val="p"/>
          </m:rPr>
          <w:rPr>
            <w:rFonts w:ascii="Cambria Math" w:hAnsi="Cambria Math"/>
            <w:lang w:eastAsia="en-AU"/>
          </w:rPr>
          <m:t>-</m:t>
        </m:r>
        <m:nary>
          <m:naryPr>
            <m:chr m:val="∑"/>
            <m:limLoc m:val="undOvr"/>
            <m:supHide m:val="1"/>
            <m:ctrlPr>
              <w:rPr>
                <w:rFonts w:ascii="Cambria Math" w:hAnsi="Cambria Math"/>
                <w:lang w:eastAsia="en-AU"/>
              </w:rPr>
            </m:ctrlPr>
          </m:naryPr>
          <m:sub/>
          <m:sup/>
          <m:e>
            <m:r>
              <w:rPr>
                <w:rFonts w:ascii="Cambria Math" w:hAnsi="Cambria Math"/>
                <w:lang w:eastAsia="en-AU"/>
              </w:rPr>
              <m:t>ICLoss</m:t>
            </m:r>
            <m:d>
              <m:dPr>
                <m:ctrlPr>
                  <w:rPr>
                    <w:rFonts w:ascii="Cambria Math" w:hAnsi="Cambria Math"/>
                    <w:lang w:eastAsia="en-AU"/>
                  </w:rPr>
                </m:ctrlPr>
              </m:dPr>
              <m:e>
                <m:r>
                  <w:rPr>
                    <w:rFonts w:ascii="Cambria Math" w:hAnsi="Cambria Math"/>
                    <w:lang w:eastAsia="en-AU"/>
                  </w:rPr>
                  <m:t>t</m:t>
                </m:r>
              </m:e>
            </m:d>
          </m:e>
        </m:nary>
      </m:oMath>
      <w:r w:rsidRPr="00CF5853">
        <w:rPr>
          <w:lang w:eastAsia="en-AU"/>
        </w:rPr>
        <w:tab/>
      </w:r>
    </w:p>
    <w:p w14:paraId="7E257FA1" w14:textId="77777777" w:rsidR="00946645" w:rsidRPr="00CF5853" w:rsidRDefault="00946645" w:rsidP="00946645">
      <w:pPr>
        <w:pStyle w:val="TxtFlw0"/>
        <w:rPr>
          <w:b/>
          <w:lang w:eastAsia="en-AU"/>
        </w:rPr>
      </w:pPr>
      <w:bookmarkStart w:id="38" w:name="_Ref475005147"/>
      <w:r w:rsidRPr="00CF5853">
        <w:rPr>
          <w:b/>
          <w:lang w:eastAsia="en-AU"/>
        </w:rPr>
        <w:t xml:space="preserve">EQ. </w:t>
      </w:r>
      <w:r w:rsidRPr="00CF5853">
        <w:rPr>
          <w:b/>
          <w:lang w:eastAsia="en-AU"/>
        </w:rPr>
        <w:fldChar w:fldCharType="begin"/>
      </w:r>
      <w:r w:rsidRPr="00CF5853">
        <w:rPr>
          <w:b/>
          <w:lang w:eastAsia="en-AU"/>
        </w:rPr>
        <w:instrText xml:space="preserve"> SEQ Eq. \* ARABIC </w:instrText>
      </w:r>
      <w:r w:rsidRPr="00CF5853">
        <w:rPr>
          <w:b/>
          <w:lang w:eastAsia="en-AU"/>
        </w:rPr>
        <w:fldChar w:fldCharType="separate"/>
      </w:r>
      <w:r w:rsidR="003E2BF7">
        <w:rPr>
          <w:b/>
          <w:noProof/>
          <w:lang w:eastAsia="en-AU"/>
        </w:rPr>
        <w:t>4</w:t>
      </w:r>
      <w:r w:rsidRPr="00CF5853">
        <w:rPr>
          <w:lang w:eastAsia="en-AU"/>
        </w:rPr>
        <w:fldChar w:fldCharType="end"/>
      </w:r>
      <w:bookmarkEnd w:id="38"/>
      <w:r w:rsidRPr="00CF5853">
        <w:rPr>
          <w:b/>
          <w:lang w:eastAsia="en-AU"/>
        </w:rPr>
        <w:tab/>
      </w:r>
      <w:r w:rsidRPr="00CF5853">
        <w:rPr>
          <w:b/>
          <w:lang w:eastAsia="en-AU"/>
        </w:rPr>
        <w:tab/>
      </w:r>
      <m:oMath>
        <m:r>
          <w:rPr>
            <w:rFonts w:ascii="Cambria Math" w:hAnsi="Cambria Math"/>
            <w:lang w:eastAsia="en-AU"/>
          </w:rPr>
          <m:t>DG</m:t>
        </m:r>
        <m:d>
          <m:dPr>
            <m:ctrlPr>
              <w:rPr>
                <w:rFonts w:ascii="Cambria Math" w:hAnsi="Cambria Math"/>
                <w:lang w:eastAsia="en-AU"/>
              </w:rPr>
            </m:ctrlPr>
          </m:dPr>
          <m:e>
            <m:r>
              <w:rPr>
                <w:rFonts w:ascii="Cambria Math" w:hAnsi="Cambria Math"/>
                <w:lang w:eastAsia="en-AU"/>
              </w:rPr>
              <m:t>t</m:t>
            </m:r>
          </m:e>
        </m:d>
        <m:r>
          <m:rPr>
            <m:sty m:val="p"/>
          </m:rPr>
          <w:rPr>
            <w:rFonts w:ascii="Cambria Math" w:hAnsi="Cambria Math"/>
            <w:lang w:eastAsia="en-AU"/>
          </w:rPr>
          <m:t>=</m:t>
        </m:r>
        <m:nary>
          <m:naryPr>
            <m:chr m:val="∑"/>
            <m:limLoc m:val="undOvr"/>
            <m:subHide m:val="1"/>
            <m:supHide m:val="1"/>
            <m:ctrlPr>
              <w:rPr>
                <w:rFonts w:ascii="Cambria Math" w:hAnsi="Cambria Math"/>
                <w:lang w:eastAsia="en-AU"/>
              </w:rPr>
            </m:ctrlPr>
          </m:naryPr>
          <m:sub/>
          <m:sup/>
          <m:e>
            <m:r>
              <w:rPr>
                <w:rFonts w:ascii="Cambria Math" w:hAnsi="Cambria Math"/>
                <w:lang w:eastAsia="en-AU"/>
              </w:rPr>
              <m:t>G</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e>
        </m:nary>
        <m:r>
          <m:rPr>
            <m:sty m:val="p"/>
          </m:rPr>
          <w:rPr>
            <w:rFonts w:ascii="Cambria Math" w:hAnsi="Cambria Math"/>
            <w:lang w:eastAsia="en-AU"/>
          </w:rPr>
          <m:t>-</m:t>
        </m:r>
        <m:nary>
          <m:naryPr>
            <m:chr m:val="∑"/>
            <m:limLoc m:val="undOvr"/>
            <m:subHide m:val="1"/>
            <m:supHide m:val="1"/>
            <m:ctrlPr>
              <w:rPr>
                <w:rFonts w:ascii="Cambria Math" w:hAnsi="Cambria Math"/>
                <w:lang w:eastAsia="en-AU"/>
              </w:rPr>
            </m:ctrlPr>
          </m:naryPr>
          <m:sub/>
          <m:sup/>
          <m:e>
            <m:r>
              <w:rPr>
                <w:rFonts w:ascii="Cambria Math" w:hAnsi="Cambria Math"/>
                <w:lang w:eastAsia="en-AU"/>
              </w:rPr>
              <m:t>IRE</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e>
        </m:nary>
        <m:r>
          <m:rPr>
            <m:sty m:val="p"/>
          </m:rPr>
          <w:rPr>
            <w:rFonts w:ascii="Cambria Math" w:hAnsi="Cambria Math"/>
            <w:lang w:eastAsia="en-AU"/>
          </w:rPr>
          <m:t>-</m:t>
        </m:r>
        <m:nary>
          <m:naryPr>
            <m:chr m:val="∑"/>
            <m:limLoc m:val="undOvr"/>
            <m:subHide m:val="1"/>
            <m:supHide m:val="1"/>
            <m:ctrlPr>
              <w:rPr>
                <w:rFonts w:ascii="Cambria Math" w:hAnsi="Cambria Math"/>
                <w:lang w:eastAsia="en-AU"/>
              </w:rPr>
            </m:ctrlPr>
          </m:naryPr>
          <m:sub/>
          <m:sup/>
          <m:e>
            <m:r>
              <w:rPr>
                <w:rFonts w:ascii="Cambria Math" w:hAnsi="Cambria Math"/>
                <w:lang w:eastAsia="en-AU"/>
              </w:rPr>
              <m:t>IRL</m:t>
            </m:r>
            <m:r>
              <m:rPr>
                <m:sty m:val="p"/>
              </m:rPr>
              <w:rPr>
                <w:rFonts w:ascii="Cambria Math" w:hAnsi="Cambria Math"/>
                <w:lang w:eastAsia="en-AU"/>
              </w:rPr>
              <m:t>(</m:t>
            </m:r>
            <m:r>
              <w:rPr>
                <w:rFonts w:ascii="Cambria Math" w:hAnsi="Cambria Math"/>
                <w:lang w:eastAsia="en-AU"/>
              </w:rPr>
              <m:t>t</m:t>
            </m:r>
            <m:r>
              <m:rPr>
                <m:sty m:val="p"/>
              </m:rPr>
              <w:rPr>
                <w:rFonts w:ascii="Cambria Math" w:hAnsi="Cambria Math"/>
                <w:lang w:eastAsia="en-AU"/>
              </w:rPr>
              <m:t>)</m:t>
            </m:r>
          </m:e>
        </m:nary>
        <m:r>
          <m:rPr>
            <m:sty m:val="p"/>
          </m:rPr>
          <w:rPr>
            <w:rFonts w:ascii="Cambria Math" w:hAnsi="Cambria Math"/>
            <w:lang w:eastAsia="en-AU"/>
          </w:rPr>
          <m:t xml:space="preserve"> </m:t>
        </m:r>
      </m:oMath>
    </w:p>
    <w:p w14:paraId="7F9E3B98" w14:textId="77777777" w:rsidR="00946645" w:rsidRPr="00CF5853" w:rsidRDefault="00946645" w:rsidP="00946645">
      <w:pPr>
        <w:pStyle w:val="TxtFlw0"/>
        <w:rPr>
          <w:lang w:eastAsia="en-AU"/>
        </w:rPr>
      </w:pPr>
      <w:r w:rsidRPr="00CF5853">
        <w:rPr>
          <w:lang w:eastAsia="en-AU"/>
        </w:rPr>
        <w:t>Where:</w:t>
      </w:r>
    </w:p>
    <w:p w14:paraId="74613D03" w14:textId="77777777" w:rsidR="00946645" w:rsidRPr="00CF5853" w:rsidRDefault="00946645" w:rsidP="00946645">
      <w:pPr>
        <w:pStyle w:val="Lista"/>
        <w:rPr>
          <w:lang w:eastAsia="en-AU"/>
        </w:rPr>
      </w:pPr>
      <w:r w:rsidRPr="00CF5853">
        <w:rPr>
          <w:b/>
          <w:i/>
          <w:lang w:eastAsia="en-AU"/>
        </w:rPr>
        <w:t>DG</w:t>
      </w:r>
      <w:r w:rsidRPr="00CF5853">
        <w:rPr>
          <w:lang w:eastAsia="en-AU"/>
        </w:rPr>
        <w:t xml:space="preserve"> represents the generator terminal demand within a particular region.</w:t>
      </w:r>
    </w:p>
    <w:p w14:paraId="516E939A" w14:textId="77777777" w:rsidR="00946645" w:rsidRPr="00CF5853" w:rsidRDefault="00946645" w:rsidP="00946645">
      <w:pPr>
        <w:pStyle w:val="Lista"/>
        <w:rPr>
          <w:lang w:eastAsia="en-AU"/>
        </w:rPr>
      </w:pPr>
      <w:r w:rsidRPr="00CF5853">
        <w:rPr>
          <w:b/>
          <w:i/>
          <w:lang w:eastAsia="en-AU"/>
        </w:rPr>
        <w:t>G</w:t>
      </w:r>
      <w:r w:rsidRPr="00CF5853">
        <w:rPr>
          <w:lang w:eastAsia="en-AU"/>
        </w:rPr>
        <w:t xml:space="preserve"> represents the SCADA metered generator terminal demand for each scheduled and semi-scheduled generating unit within the region.</w:t>
      </w:r>
    </w:p>
    <w:p w14:paraId="1A2149FF" w14:textId="77777777" w:rsidR="00946645" w:rsidRPr="00CF5853" w:rsidRDefault="00946645" w:rsidP="00946645">
      <w:pPr>
        <w:pStyle w:val="Lista"/>
        <w:rPr>
          <w:lang w:eastAsia="en-AU"/>
        </w:rPr>
      </w:pPr>
      <w:r w:rsidRPr="00CF5853">
        <w:rPr>
          <w:b/>
          <w:i/>
          <w:lang w:eastAsia="en-AU"/>
        </w:rPr>
        <w:t>IRE</w:t>
      </w:r>
      <w:r w:rsidRPr="00CF5853">
        <w:rPr>
          <w:lang w:eastAsia="en-AU"/>
        </w:rPr>
        <w:t xml:space="preserve"> is the actual SCADA metered value MW flow on each </w:t>
      </w:r>
      <w:r w:rsidRPr="00D92EB4">
        <w:rPr>
          <w:i/>
          <w:lang w:eastAsia="en-AU"/>
        </w:rPr>
        <w:t>interconnector</w:t>
      </w:r>
      <w:r w:rsidRPr="00CF5853">
        <w:rPr>
          <w:lang w:eastAsia="en-AU"/>
        </w:rPr>
        <w:t xml:space="preserve"> connected to the region (with sign chosen such that positive values are exports from the region). </w:t>
      </w:r>
    </w:p>
    <w:p w14:paraId="0A208751" w14:textId="34817563" w:rsidR="00946645" w:rsidRPr="00CF5853" w:rsidRDefault="00946645" w:rsidP="00946645">
      <w:pPr>
        <w:pStyle w:val="Lista"/>
        <w:rPr>
          <w:lang w:eastAsia="en-AU"/>
        </w:rPr>
      </w:pPr>
      <w:r w:rsidRPr="00CF5853">
        <w:rPr>
          <w:b/>
          <w:i/>
          <w:lang w:eastAsia="en-AU"/>
        </w:rPr>
        <w:t>IRL</w:t>
      </w:r>
      <w:r w:rsidRPr="00CF5853">
        <w:rPr>
          <w:lang w:eastAsia="en-AU"/>
        </w:rPr>
        <w:t xml:space="preserve"> is the four-second estimated actual loss on each interconnector connected to the region (calculated in </w:t>
      </w:r>
      <w:r w:rsidRPr="00CF5853">
        <w:rPr>
          <w:lang w:eastAsia="en-AU"/>
        </w:rPr>
        <w:fldChar w:fldCharType="begin"/>
      </w:r>
      <w:r w:rsidRPr="00CF5853">
        <w:rPr>
          <w:lang w:eastAsia="en-AU"/>
        </w:rPr>
        <w:instrText xml:space="preserve"> REF _Ref474500979 \h  \* MERGEFORMAT </w:instrText>
      </w:r>
      <w:r w:rsidRPr="00CF5853">
        <w:rPr>
          <w:lang w:eastAsia="en-AU"/>
        </w:rPr>
      </w:r>
      <w:r w:rsidRPr="00CF5853">
        <w:rPr>
          <w:lang w:eastAsia="en-AU"/>
        </w:rPr>
        <w:fldChar w:fldCharType="separate"/>
      </w:r>
      <w:r w:rsidR="003E2BF7" w:rsidRPr="00CD5358">
        <w:rPr>
          <w:lang w:eastAsia="en-AU"/>
        </w:rPr>
        <w:t>EQ. 3</w:t>
      </w:r>
      <w:r w:rsidRPr="00CF5853">
        <w:rPr>
          <w:lang w:eastAsia="en-AU"/>
        </w:rPr>
        <w:fldChar w:fldCharType="end"/>
      </w:r>
      <w:r w:rsidRPr="00CF5853">
        <w:rPr>
          <w:lang w:eastAsia="en-AU"/>
        </w:rPr>
        <w:t>)</w:t>
      </w:r>
      <w:r w:rsidR="00A02098">
        <w:rPr>
          <w:lang w:eastAsia="en-AU"/>
        </w:rPr>
        <w:t>.</w:t>
      </w:r>
    </w:p>
    <w:p w14:paraId="1CF3F370" w14:textId="77777777" w:rsidR="00946645" w:rsidRDefault="00946645" w:rsidP="00946645">
      <w:pPr>
        <w:pStyle w:val="Heading3"/>
        <w:rPr>
          <w:rFonts w:eastAsiaTheme="minorHAnsi"/>
          <w:lang w:eastAsia="en-AU"/>
        </w:rPr>
      </w:pPr>
      <w:r>
        <w:rPr>
          <w:rFonts w:eastAsiaTheme="minorHAnsi"/>
          <w:lang w:eastAsia="en-AU"/>
        </w:rPr>
        <w:t xml:space="preserve">Step 3 - </w:t>
      </w:r>
      <w:r w:rsidRPr="00CF5853">
        <w:rPr>
          <w:rFonts w:eastAsiaTheme="minorHAnsi"/>
          <w:lang w:eastAsia="en-AU"/>
        </w:rPr>
        <w:t>Least squares error (LSE) line of best fit calculation</w:t>
      </w:r>
    </w:p>
    <w:p w14:paraId="55CECE54" w14:textId="77777777" w:rsidR="00946645" w:rsidRPr="00551AD8" w:rsidRDefault="00946645" w:rsidP="00946645">
      <w:pPr>
        <w:pStyle w:val="ResetPara"/>
        <w:rPr>
          <w:lang w:eastAsia="en-AU"/>
        </w:rPr>
      </w:pPr>
    </w:p>
    <w:p w14:paraId="79CE40A8" w14:textId="4E522B56" w:rsidR="00946645" w:rsidRPr="00CF5853" w:rsidRDefault="00946645" w:rsidP="00946645">
      <w:pPr>
        <w:pStyle w:val="Lista"/>
        <w:rPr>
          <w:lang w:eastAsia="en-AU"/>
        </w:rPr>
      </w:pPr>
      <w:r w:rsidRPr="00CF5853">
        <w:rPr>
          <w:lang w:eastAsia="en-AU"/>
        </w:rPr>
        <w:t>After calculating the actual 4</w:t>
      </w:r>
      <w:r>
        <w:rPr>
          <w:lang w:eastAsia="en-AU"/>
        </w:rPr>
        <w:t>-</w:t>
      </w:r>
      <w:r w:rsidRPr="00CF5853">
        <w:rPr>
          <w:lang w:eastAsia="en-AU"/>
        </w:rPr>
        <w:t>sec</w:t>
      </w:r>
      <w:r>
        <w:rPr>
          <w:lang w:eastAsia="en-AU"/>
        </w:rPr>
        <w:t>ond</w:t>
      </w:r>
      <w:r w:rsidRPr="00CF5853">
        <w:rPr>
          <w:lang w:eastAsia="en-AU"/>
        </w:rPr>
        <w:t xml:space="preserve"> regional demand trajectory</w:t>
      </w:r>
      <w:r w:rsidR="008850D9">
        <w:rPr>
          <w:lang w:eastAsia="en-AU"/>
        </w:rPr>
        <w:t>,</w:t>
      </w:r>
      <w:r w:rsidRPr="00CF5853">
        <w:rPr>
          <w:lang w:eastAsia="en-AU"/>
        </w:rPr>
        <w:t xml:space="preserve"> a straight line approximation for that trajectory is calculated by using least square error estimation. This LSE approximation uses all data samples for the DI including the ones where FI and the frequency error is not correlated.</w:t>
      </w:r>
    </w:p>
    <w:p w14:paraId="78936C8E" w14:textId="00720307" w:rsidR="00946645" w:rsidRPr="00CF5853" w:rsidRDefault="00946645" w:rsidP="00946645">
      <w:pPr>
        <w:pStyle w:val="Lista"/>
        <w:rPr>
          <w:lang w:eastAsia="en-AU"/>
        </w:rPr>
      </w:pPr>
      <w:r>
        <w:rPr>
          <w:lang w:eastAsia="en-AU"/>
        </w:rPr>
        <w:t>The l</w:t>
      </w:r>
      <w:r w:rsidRPr="00CF5853">
        <w:rPr>
          <w:lang w:eastAsia="en-AU"/>
        </w:rPr>
        <w:t xml:space="preserve">east square error line is continuous when </w:t>
      </w:r>
      <w:r w:rsidR="00014B14">
        <w:rPr>
          <w:lang w:eastAsia="en-AU"/>
        </w:rPr>
        <w:t>data from the previous DI is available. That is, the l</w:t>
      </w:r>
      <w:r w:rsidRPr="00CF5853">
        <w:rPr>
          <w:lang w:eastAsia="en-AU"/>
        </w:rPr>
        <w:t xml:space="preserve">ine starts from </w:t>
      </w:r>
      <w:r w:rsidR="00014B14">
        <w:rPr>
          <w:lang w:eastAsia="en-AU"/>
        </w:rPr>
        <w:t xml:space="preserve">the </w:t>
      </w:r>
      <w:r w:rsidRPr="00CF5853">
        <w:rPr>
          <w:lang w:eastAsia="en-AU"/>
        </w:rPr>
        <w:t xml:space="preserve">end point of the previous </w:t>
      </w:r>
      <w:r w:rsidR="00014B14">
        <w:rPr>
          <w:lang w:eastAsia="en-AU"/>
        </w:rPr>
        <w:t xml:space="preserve">DI’s </w:t>
      </w:r>
      <w:r w:rsidRPr="00CF5853">
        <w:rPr>
          <w:lang w:eastAsia="en-AU"/>
        </w:rPr>
        <w:t>LSE line when available.</w:t>
      </w:r>
    </w:p>
    <w:p w14:paraId="248AA3C9" w14:textId="77777777" w:rsidR="00946645" w:rsidRDefault="00946645" w:rsidP="00946645">
      <w:pPr>
        <w:pStyle w:val="Heading3"/>
        <w:rPr>
          <w:rFonts w:eastAsiaTheme="minorHAnsi"/>
          <w:lang w:eastAsia="en-AU"/>
        </w:rPr>
      </w:pPr>
      <w:bookmarkStart w:id="39" w:name="_Ref506844705"/>
      <w:r>
        <w:rPr>
          <w:rFonts w:eastAsiaTheme="minorHAnsi"/>
          <w:lang w:eastAsia="en-AU"/>
        </w:rPr>
        <w:t xml:space="preserve">Step 4 - </w:t>
      </w:r>
      <w:r w:rsidRPr="00CF5853">
        <w:rPr>
          <w:rFonts w:eastAsiaTheme="minorHAnsi"/>
          <w:lang w:eastAsia="en-AU"/>
        </w:rPr>
        <w:t>Reference trajectory calculation</w:t>
      </w:r>
      <w:bookmarkEnd w:id="39"/>
    </w:p>
    <w:p w14:paraId="75BA1F99" w14:textId="77777777" w:rsidR="00946645" w:rsidRPr="00551AD8" w:rsidRDefault="00946645" w:rsidP="00946645">
      <w:pPr>
        <w:pStyle w:val="ResetPara"/>
        <w:rPr>
          <w:lang w:eastAsia="en-AU"/>
        </w:rPr>
      </w:pPr>
    </w:p>
    <w:p w14:paraId="005B18A9" w14:textId="67F51A32" w:rsidR="00946645" w:rsidRPr="00CF5853" w:rsidRDefault="00946645" w:rsidP="00946645">
      <w:pPr>
        <w:pStyle w:val="TxtFlw0"/>
        <w:rPr>
          <w:lang w:eastAsia="en-AU"/>
        </w:rPr>
      </w:pPr>
      <w:r w:rsidRPr="00CF5853">
        <w:rPr>
          <w:lang w:eastAsia="en-AU"/>
        </w:rPr>
        <w:t xml:space="preserve">The reference trajectory is calculated as the linear trajectory between </w:t>
      </w:r>
      <w:r w:rsidR="00A02098">
        <w:rPr>
          <w:lang w:eastAsia="en-AU"/>
        </w:rPr>
        <w:t xml:space="preserve">the </w:t>
      </w:r>
      <w:r w:rsidRPr="00A02098">
        <w:rPr>
          <w:i/>
          <w:lang w:eastAsia="en-AU"/>
        </w:rPr>
        <w:t>regional</w:t>
      </w:r>
      <w:r w:rsidRPr="00CF5853">
        <w:rPr>
          <w:lang w:eastAsia="en-AU"/>
        </w:rPr>
        <w:t xml:space="preserve"> demand at the start and end of the DI.  Demand at a dispatch interval boundary is calculated by using</w:t>
      </w:r>
      <w:r w:rsidR="00D80A7C">
        <w:rPr>
          <w:lang w:eastAsia="en-AU"/>
        </w:rPr>
        <w:t xml:space="preserve"> NEMDE data representing</w:t>
      </w:r>
      <w:r>
        <w:rPr>
          <w:lang w:eastAsia="en-AU"/>
        </w:rPr>
        <w:t>:</w:t>
      </w:r>
      <w:r w:rsidRPr="00CF5853">
        <w:rPr>
          <w:lang w:eastAsia="en-AU"/>
        </w:rPr>
        <w:t xml:space="preserve"> </w:t>
      </w:r>
    </w:p>
    <w:p w14:paraId="41CDCA69" w14:textId="145CC196" w:rsidR="00946645" w:rsidRPr="00CF5853" w:rsidRDefault="00014B14" w:rsidP="00946645">
      <w:pPr>
        <w:pStyle w:val="Lista"/>
        <w:rPr>
          <w:lang w:eastAsia="en-AU"/>
        </w:rPr>
      </w:pPr>
      <w:r w:rsidRPr="00014B14">
        <w:rPr>
          <w:i/>
          <w:lang w:eastAsia="en-AU"/>
        </w:rPr>
        <w:t>g</w:t>
      </w:r>
      <w:r w:rsidR="00946645" w:rsidRPr="00014B14">
        <w:rPr>
          <w:i/>
          <w:lang w:eastAsia="en-AU"/>
        </w:rPr>
        <w:t>eneration</w:t>
      </w:r>
      <w:r w:rsidR="00946645" w:rsidRPr="00CF5853">
        <w:rPr>
          <w:lang w:eastAsia="en-AU"/>
        </w:rPr>
        <w:t xml:space="preserve"> targets for </w:t>
      </w:r>
      <w:r w:rsidR="00946645" w:rsidRPr="00551AD8">
        <w:rPr>
          <w:i/>
          <w:lang w:eastAsia="en-AU"/>
        </w:rPr>
        <w:t>scheduled</w:t>
      </w:r>
      <w:r w:rsidR="00946645">
        <w:rPr>
          <w:i/>
          <w:lang w:eastAsia="en-AU"/>
        </w:rPr>
        <w:t xml:space="preserve"> generating units </w:t>
      </w:r>
      <w:r w:rsidR="00946645" w:rsidRPr="00CF5853">
        <w:rPr>
          <w:lang w:eastAsia="en-AU"/>
        </w:rPr>
        <w:t xml:space="preserve">and </w:t>
      </w:r>
      <w:r w:rsidR="00946645">
        <w:rPr>
          <w:i/>
          <w:lang w:eastAsia="en-AU"/>
        </w:rPr>
        <w:t>semi-scheduled generating units</w:t>
      </w:r>
      <w:r w:rsidR="00946645">
        <w:rPr>
          <w:lang w:eastAsia="en-AU"/>
        </w:rPr>
        <w:t xml:space="preserve">; </w:t>
      </w:r>
    </w:p>
    <w:p w14:paraId="0EDAEEC6" w14:textId="1253CE07" w:rsidR="00946645" w:rsidRPr="00CF5853" w:rsidRDefault="00946645" w:rsidP="00946645">
      <w:pPr>
        <w:pStyle w:val="Lista"/>
        <w:rPr>
          <w:lang w:eastAsia="en-AU"/>
        </w:rPr>
      </w:pPr>
      <w:r>
        <w:rPr>
          <w:i/>
          <w:lang w:eastAsia="en-AU"/>
        </w:rPr>
        <w:t>i</w:t>
      </w:r>
      <w:r w:rsidRPr="00946645">
        <w:rPr>
          <w:i/>
          <w:lang w:eastAsia="en-AU"/>
        </w:rPr>
        <w:t xml:space="preserve">nterconnector </w:t>
      </w:r>
      <w:r w:rsidRPr="00CF5853">
        <w:rPr>
          <w:lang w:eastAsia="en-AU"/>
        </w:rPr>
        <w:t>flow targets</w:t>
      </w:r>
      <w:r w:rsidR="00EC7113">
        <w:rPr>
          <w:lang w:eastAsia="en-AU"/>
        </w:rPr>
        <w:t>; and</w:t>
      </w:r>
    </w:p>
    <w:p w14:paraId="4D367AC7" w14:textId="20ACD6ED" w:rsidR="00243F56" w:rsidRDefault="00946645" w:rsidP="00EC7113">
      <w:pPr>
        <w:pStyle w:val="Lista"/>
        <w:rPr>
          <w:lang w:eastAsia="en-AU"/>
        </w:rPr>
      </w:pPr>
      <w:r>
        <w:rPr>
          <w:lang w:eastAsia="en-AU"/>
        </w:rPr>
        <w:t>s</w:t>
      </w:r>
      <w:r w:rsidRPr="00CF5853">
        <w:rPr>
          <w:lang w:eastAsia="en-AU"/>
        </w:rPr>
        <w:t>ch</w:t>
      </w:r>
      <w:r>
        <w:rPr>
          <w:lang w:eastAsia="en-AU"/>
        </w:rPr>
        <w:t>e</w:t>
      </w:r>
      <w:r w:rsidRPr="00CF5853">
        <w:rPr>
          <w:lang w:eastAsia="en-AU"/>
        </w:rPr>
        <w:t xml:space="preserve">duled losses for </w:t>
      </w:r>
      <w:r w:rsidRPr="00946645">
        <w:rPr>
          <w:i/>
          <w:lang w:eastAsia="en-AU"/>
        </w:rPr>
        <w:t>interconnectors.</w:t>
      </w:r>
      <w:r w:rsidRPr="00CF5853">
        <w:rPr>
          <w:lang w:eastAsia="en-AU"/>
        </w:rPr>
        <w:t xml:space="preserve"> </w:t>
      </w:r>
    </w:p>
    <w:p w14:paraId="3D18A95B" w14:textId="265C31A6" w:rsidR="00CD74B7" w:rsidRPr="00FD0C04" w:rsidRDefault="00CD74B7" w:rsidP="00CD74B7">
      <w:pPr>
        <w:pStyle w:val="TableTitle"/>
      </w:pPr>
      <w:r>
        <w:lastRenderedPageBreak/>
        <w:t>Table 4</w:t>
      </w:r>
      <w:r>
        <w:tab/>
        <w:t>Non-linearity of demand (DG) per region</w:t>
      </w:r>
    </w:p>
    <w:tbl>
      <w:tblPr>
        <w:tblStyle w:val="AEMOTable"/>
        <w:tblW w:w="9292" w:type="dxa"/>
        <w:tblLook w:val="0420" w:firstRow="1" w:lastRow="0" w:firstColumn="0" w:lastColumn="0" w:noHBand="0" w:noVBand="1"/>
      </w:tblPr>
      <w:tblGrid>
        <w:gridCol w:w="2126"/>
        <w:gridCol w:w="2126"/>
        <w:gridCol w:w="5040"/>
      </w:tblGrid>
      <w:tr w:rsidR="00CD74B7" w:rsidRPr="00FD0C04" w14:paraId="60382FD2" w14:textId="77777777" w:rsidTr="00FE0C40">
        <w:trPr>
          <w:cnfStyle w:val="100000000000" w:firstRow="1" w:lastRow="0" w:firstColumn="0" w:lastColumn="0" w:oddVBand="0" w:evenVBand="0" w:oddHBand="0" w:evenHBand="0" w:firstRowFirstColumn="0" w:firstRowLastColumn="0" w:lastRowFirstColumn="0" w:lastRowLastColumn="0"/>
        </w:trPr>
        <w:tc>
          <w:tcPr>
            <w:tcW w:w="2126" w:type="dxa"/>
          </w:tcPr>
          <w:p w14:paraId="7625DFF2" w14:textId="77777777" w:rsidR="00CD74B7" w:rsidRPr="00FD0C04" w:rsidRDefault="00CD74B7" w:rsidP="00FE0C40">
            <w:pPr>
              <w:keepNext/>
              <w:rPr>
                <w:b w:val="0"/>
                <w:sz w:val="18"/>
              </w:rPr>
            </w:pPr>
            <w:r w:rsidRPr="00FD0C04">
              <w:rPr>
                <w:sz w:val="18"/>
              </w:rPr>
              <w:t>Reference Trajectory</w:t>
            </w:r>
          </w:p>
        </w:tc>
        <w:tc>
          <w:tcPr>
            <w:tcW w:w="2126" w:type="dxa"/>
          </w:tcPr>
          <w:p w14:paraId="260D4997" w14:textId="77777777" w:rsidR="00CD74B7" w:rsidRPr="00FD0C04" w:rsidRDefault="00CD74B7" w:rsidP="00FE0C40">
            <w:pPr>
              <w:keepNext/>
              <w:rPr>
                <w:b w:val="0"/>
                <w:sz w:val="18"/>
              </w:rPr>
            </w:pPr>
            <w:r w:rsidRPr="00FD0C04">
              <w:rPr>
                <w:sz w:val="18"/>
              </w:rPr>
              <w:t>Actual Measurement</w:t>
            </w:r>
          </w:p>
        </w:tc>
        <w:tc>
          <w:tcPr>
            <w:tcW w:w="5040" w:type="dxa"/>
            <w:vAlign w:val="center"/>
          </w:tcPr>
          <w:p w14:paraId="66CCF74D" w14:textId="77777777" w:rsidR="00CD74B7" w:rsidRPr="00FD0C04" w:rsidRDefault="00CD74B7" w:rsidP="00FE0C40">
            <w:pPr>
              <w:keepNext/>
              <w:rPr>
                <w:b w:val="0"/>
                <w:sz w:val="18"/>
              </w:rPr>
            </w:pPr>
            <w:r w:rsidRPr="00FD0C04">
              <w:rPr>
                <w:sz w:val="18"/>
              </w:rPr>
              <w:t>Example</w:t>
            </w:r>
          </w:p>
        </w:tc>
      </w:tr>
      <w:tr w:rsidR="00CD74B7" w:rsidRPr="00FD0C04" w14:paraId="652A1F45" w14:textId="77777777" w:rsidTr="00FE0C40">
        <w:trPr>
          <w:cnfStyle w:val="000000100000" w:firstRow="0" w:lastRow="0" w:firstColumn="0" w:lastColumn="0" w:oddVBand="0" w:evenVBand="0" w:oddHBand="1" w:evenHBand="0" w:firstRowFirstColumn="0" w:firstRowLastColumn="0" w:lastRowFirstColumn="0" w:lastRowLastColumn="0"/>
        </w:trPr>
        <w:tc>
          <w:tcPr>
            <w:tcW w:w="2126" w:type="dxa"/>
          </w:tcPr>
          <w:p w14:paraId="668F65E0" w14:textId="77777777" w:rsidR="00CD74B7" w:rsidRPr="00FD0C04" w:rsidRDefault="00CD74B7" w:rsidP="00FE0C40">
            <w:pPr>
              <w:keepNext/>
              <w:rPr>
                <w:sz w:val="18"/>
              </w:rPr>
            </w:pPr>
            <w:r w:rsidRPr="00FD0C04">
              <w:rPr>
                <w:sz w:val="18"/>
              </w:rPr>
              <w:t>Least squares line of best fit of four-second regional demand duing the curent dispatch interval.</w:t>
            </w:r>
            <w:r w:rsidRPr="000936EF">
              <w:rPr>
                <w:sz w:val="18"/>
                <w:highlight w:val="yellow"/>
              </w:rPr>
              <w:t>*</w:t>
            </w:r>
          </w:p>
        </w:tc>
        <w:tc>
          <w:tcPr>
            <w:tcW w:w="2126" w:type="dxa"/>
          </w:tcPr>
          <w:p w14:paraId="2644335E" w14:textId="77777777" w:rsidR="00CD74B7" w:rsidRPr="00FD0C04" w:rsidRDefault="00CD74B7" w:rsidP="00FE0C40">
            <w:pPr>
              <w:keepNext/>
              <w:rPr>
                <w:sz w:val="18"/>
              </w:rPr>
            </w:pPr>
            <w:r w:rsidRPr="00FD0C04">
              <w:rPr>
                <w:sz w:val="18"/>
              </w:rPr>
              <w:t>Four-second regional demand.</w:t>
            </w:r>
            <w:r w:rsidRPr="000936EF">
              <w:rPr>
                <w:sz w:val="18"/>
                <w:highlight w:val="yellow"/>
              </w:rPr>
              <w:t>*</w:t>
            </w:r>
          </w:p>
        </w:tc>
        <w:tc>
          <w:tcPr>
            <w:tcW w:w="5040" w:type="dxa"/>
          </w:tcPr>
          <w:p w14:paraId="217373B1" w14:textId="77777777" w:rsidR="00CD74B7" w:rsidRPr="00FD0C04" w:rsidRDefault="00CD74B7" w:rsidP="00FE0C40">
            <w:pPr>
              <w:keepNext/>
              <w:spacing w:before="60" w:after="60"/>
              <w:rPr>
                <w:sz w:val="18"/>
              </w:rPr>
            </w:pPr>
            <w:r w:rsidRPr="00FD0C04">
              <w:rPr>
                <w:sz w:val="18"/>
              </w:rPr>
              <w:t xml:space="preserve">               </w:t>
            </w:r>
            <w:r w:rsidRPr="00FD0C04">
              <w:rPr>
                <w:noProof/>
                <w:sz w:val="18"/>
                <w:lang w:eastAsia="en-AU"/>
              </w:rPr>
              <w:drawing>
                <wp:inline distT="0" distB="0" distL="0" distR="0" wp14:anchorId="561F6AEC" wp14:editId="0E55C916">
                  <wp:extent cx="1836000" cy="1306800"/>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000" cy="1306800"/>
                          </a:xfrm>
                          <a:prstGeom prst="rect">
                            <a:avLst/>
                          </a:prstGeom>
                          <a:noFill/>
                          <a:ln>
                            <a:noFill/>
                          </a:ln>
                        </pic:spPr>
                      </pic:pic>
                    </a:graphicData>
                  </a:graphic>
                </wp:inline>
              </w:drawing>
            </w:r>
          </w:p>
        </w:tc>
      </w:tr>
      <w:tr w:rsidR="00CD74B7" w:rsidRPr="00FD0C04" w14:paraId="17FD814C" w14:textId="77777777" w:rsidTr="00FE0C40">
        <w:trPr>
          <w:cnfStyle w:val="000000010000" w:firstRow="0" w:lastRow="0" w:firstColumn="0" w:lastColumn="0" w:oddVBand="0" w:evenVBand="0" w:oddHBand="0" w:evenHBand="1" w:firstRowFirstColumn="0" w:firstRowLastColumn="0" w:lastRowFirstColumn="0" w:lastRowLastColumn="0"/>
        </w:trPr>
        <w:tc>
          <w:tcPr>
            <w:tcW w:w="2126" w:type="dxa"/>
          </w:tcPr>
          <w:p w14:paraId="1BFE8F55" w14:textId="77777777" w:rsidR="00CD74B7" w:rsidRPr="00FD0C04" w:rsidRDefault="00CD74B7" w:rsidP="00FE0C40">
            <w:pPr>
              <w:spacing w:before="60" w:after="60"/>
              <w:rPr>
                <w:b/>
                <w:i/>
                <w:noProof/>
                <w:sz w:val="18"/>
                <w:lang w:eastAsia="en-AU"/>
              </w:rPr>
            </w:pPr>
            <w:r w:rsidRPr="00FD0C04">
              <w:rPr>
                <w:b/>
                <w:i/>
                <w:noProof/>
                <w:sz w:val="18"/>
                <w:lang w:eastAsia="en-AU"/>
              </w:rPr>
              <w:t>DGX(t)</w:t>
            </w:r>
          </w:p>
          <w:p w14:paraId="0FCD6DA0" w14:textId="77777777" w:rsidR="00CD74B7" w:rsidRPr="00FD0C04" w:rsidRDefault="00CD74B7" w:rsidP="00FE0C40">
            <w:pPr>
              <w:spacing w:before="60" w:after="60"/>
              <w:rPr>
                <w:sz w:val="18"/>
              </w:rPr>
            </w:pPr>
            <w:r w:rsidRPr="00FD0C04">
              <w:rPr>
                <w:noProof/>
                <w:sz w:val="18"/>
                <w:lang w:eastAsia="en-AU"/>
              </w:rPr>
              <w:t xml:space="preserve">Source: function which converts 5-minutes of </w:t>
            </w:r>
            <w:r w:rsidRPr="00FD0C04">
              <w:rPr>
                <w:b/>
                <w:noProof/>
                <w:sz w:val="18"/>
                <w:lang w:eastAsia="en-AU"/>
              </w:rPr>
              <w:t>DG(t)</w:t>
            </w:r>
            <w:r w:rsidRPr="00FD0C04">
              <w:rPr>
                <w:noProof/>
                <w:sz w:val="18"/>
                <w:lang w:eastAsia="en-AU"/>
              </w:rPr>
              <w:t xml:space="preserve"> values into a line of best fit.</w:t>
            </w:r>
          </w:p>
        </w:tc>
        <w:tc>
          <w:tcPr>
            <w:tcW w:w="2126" w:type="dxa"/>
          </w:tcPr>
          <w:p w14:paraId="56F33A03" w14:textId="77777777" w:rsidR="00CD74B7" w:rsidRPr="00FD0C04" w:rsidRDefault="00CD74B7" w:rsidP="00FE0C40">
            <w:pPr>
              <w:spacing w:before="60" w:after="60"/>
              <w:rPr>
                <w:b/>
                <w:i/>
                <w:noProof/>
                <w:sz w:val="18"/>
                <w:vertAlign w:val="superscript"/>
                <w:lang w:eastAsia="en-AU"/>
              </w:rPr>
            </w:pPr>
            <w:r w:rsidRPr="00FD0C04">
              <w:rPr>
                <w:b/>
                <w:i/>
                <w:noProof/>
                <w:sz w:val="18"/>
                <w:lang w:eastAsia="en-AU"/>
              </w:rPr>
              <w:t>DG(t)</w:t>
            </w:r>
          </w:p>
          <w:p w14:paraId="4C056958" w14:textId="2654565E" w:rsidR="00CD74B7" w:rsidRPr="00FD0C04" w:rsidRDefault="00CD74B7" w:rsidP="00FE0C40">
            <w:pPr>
              <w:spacing w:before="60" w:after="60"/>
              <w:rPr>
                <w:noProof/>
                <w:sz w:val="18"/>
                <w:lang w:eastAsia="en-AU"/>
              </w:rPr>
            </w:pPr>
            <w:r w:rsidRPr="00FD0C04">
              <w:rPr>
                <w:noProof/>
                <w:sz w:val="18"/>
                <w:lang w:eastAsia="en-AU"/>
              </w:rPr>
              <w:t xml:space="preserve">Source: </w:t>
            </w:r>
            <w:r w:rsidRPr="00FD0C04">
              <w:rPr>
                <w:noProof/>
                <w:sz w:val="18"/>
                <w:lang w:eastAsia="en-AU"/>
              </w:rPr>
              <w:fldChar w:fldCharType="begin"/>
            </w:r>
            <w:r w:rsidRPr="00FD0C04">
              <w:rPr>
                <w:noProof/>
                <w:sz w:val="18"/>
                <w:lang w:eastAsia="en-AU"/>
              </w:rPr>
              <w:instrText xml:space="preserve"> REF _Ref475005147 \h  \* MERGEFORMAT </w:instrText>
            </w:r>
            <w:r w:rsidRPr="00FD0C04">
              <w:rPr>
                <w:noProof/>
                <w:sz w:val="18"/>
                <w:lang w:eastAsia="en-AU"/>
              </w:rPr>
            </w:r>
            <w:r w:rsidRPr="00FD0C04">
              <w:rPr>
                <w:noProof/>
                <w:sz w:val="18"/>
                <w:lang w:eastAsia="en-AU"/>
              </w:rPr>
              <w:fldChar w:fldCharType="separate"/>
            </w:r>
            <w:r w:rsidR="003E2BF7" w:rsidRPr="00CD5358">
              <w:rPr>
                <w:sz w:val="18"/>
              </w:rPr>
              <w:t xml:space="preserve">EQ. </w:t>
            </w:r>
            <w:r w:rsidR="003E2BF7" w:rsidRPr="00CD5358">
              <w:rPr>
                <w:noProof/>
                <w:sz w:val="18"/>
              </w:rPr>
              <w:t>4</w:t>
            </w:r>
            <w:r w:rsidRPr="00FD0C04">
              <w:rPr>
                <w:noProof/>
                <w:sz w:val="18"/>
                <w:lang w:eastAsia="en-AU"/>
              </w:rPr>
              <w:fldChar w:fldCharType="end"/>
            </w:r>
            <w:r w:rsidRPr="00FD0C04">
              <w:rPr>
                <w:noProof/>
                <w:sz w:val="18"/>
                <w:lang w:eastAsia="en-AU"/>
              </w:rPr>
              <w:t xml:space="preserve"> based on SCADA generation, region exports, and losses.</w:t>
            </w:r>
          </w:p>
        </w:tc>
        <w:tc>
          <w:tcPr>
            <w:tcW w:w="5040" w:type="dxa"/>
          </w:tcPr>
          <w:p w14:paraId="06A73029" w14:textId="77777777" w:rsidR="00CD74B7" w:rsidRPr="00FD0C04" w:rsidRDefault="00CD74B7" w:rsidP="00FE0C40">
            <w:pPr>
              <w:spacing w:before="60" w:after="60"/>
              <w:jc w:val="center"/>
              <w:rPr>
                <w:noProof/>
                <w:sz w:val="18"/>
              </w:rPr>
            </w:pPr>
            <m:oMathPara>
              <m:oMath>
                <m:r>
                  <w:rPr>
                    <w:rFonts w:ascii="Cambria Math" w:hAnsi="Cambria Math"/>
                    <w:sz w:val="18"/>
                  </w:rPr>
                  <m:t>Demand Deviation=ActualDemand-ReferenceDemand</m:t>
                </m:r>
              </m:oMath>
            </m:oMathPara>
          </w:p>
          <w:p w14:paraId="56EF4A8B" w14:textId="77777777" w:rsidR="00CD74B7" w:rsidRPr="00FD0C04" w:rsidRDefault="00CD74B7" w:rsidP="00FE0C40">
            <w:pPr>
              <w:spacing w:before="60" w:after="60"/>
              <w:jc w:val="center"/>
              <w:rPr>
                <w:noProof/>
                <w:sz w:val="18"/>
              </w:rPr>
            </w:pPr>
          </w:p>
          <w:p w14:paraId="350B926F" w14:textId="77777777" w:rsidR="00CD74B7" w:rsidRPr="00FD0C04" w:rsidRDefault="00CD74B7" w:rsidP="00FE0C40">
            <w:pPr>
              <w:spacing w:before="60" w:after="60"/>
              <w:jc w:val="center"/>
              <w:rPr>
                <w:sz w:val="18"/>
              </w:rPr>
            </w:pPr>
            <w:r w:rsidRPr="00FD0C04">
              <w:rPr>
                <w:b/>
                <w:sz w:val="18"/>
              </w:rPr>
              <w:t xml:space="preserve">EQ. </w:t>
            </w:r>
            <w:r w:rsidRPr="00FD0C04">
              <w:rPr>
                <w:b/>
                <w:sz w:val="18"/>
              </w:rPr>
              <w:fldChar w:fldCharType="begin"/>
            </w:r>
            <w:r w:rsidRPr="00FD0C04">
              <w:rPr>
                <w:b/>
                <w:sz w:val="18"/>
              </w:rPr>
              <w:instrText xml:space="preserve"> SEQ Eq. \* ARABIC </w:instrText>
            </w:r>
            <w:r w:rsidRPr="00FD0C04">
              <w:rPr>
                <w:b/>
                <w:sz w:val="18"/>
              </w:rPr>
              <w:fldChar w:fldCharType="separate"/>
            </w:r>
            <w:r w:rsidR="003E2BF7">
              <w:rPr>
                <w:b/>
                <w:noProof/>
                <w:sz w:val="18"/>
              </w:rPr>
              <w:t>5</w:t>
            </w:r>
            <w:r w:rsidRPr="00FD0C04">
              <w:rPr>
                <w:b/>
                <w:sz w:val="18"/>
              </w:rPr>
              <w:fldChar w:fldCharType="end"/>
            </w:r>
            <w:r w:rsidRPr="00FD0C04">
              <w:rPr>
                <w:b/>
                <w:sz w:val="18"/>
              </w:rPr>
              <w:tab/>
            </w:r>
            <w:r w:rsidRPr="00FD0C04">
              <w:rPr>
                <w:b/>
                <w:sz w:val="18"/>
              </w:rPr>
              <w:tab/>
            </w:r>
            <m:oMath>
              <m:sSub>
                <m:sSubPr>
                  <m:ctrlPr>
                    <w:rPr>
                      <w:rFonts w:ascii="Cambria Math" w:hAnsi="Cambria Math"/>
                      <w:i/>
                      <w:sz w:val="18"/>
                    </w:rPr>
                  </m:ctrlPr>
                </m:sSubPr>
                <m:e>
                  <m:r>
                    <w:rPr>
                      <w:rFonts w:ascii="Cambria Math" w:hAnsi="Cambria Math"/>
                      <w:sz w:val="18"/>
                    </w:rPr>
                    <m:t>E</m:t>
                  </m:r>
                </m:e>
                <m:sub>
                  <m:r>
                    <w:rPr>
                      <w:rFonts w:ascii="Cambria Math" w:hAnsi="Cambria Math"/>
                      <w:sz w:val="18"/>
                    </w:rPr>
                    <m:t>DG</m:t>
                  </m:r>
                </m:sub>
              </m:sSub>
              <m:r>
                <w:rPr>
                  <w:rFonts w:ascii="Cambria Math" w:hAnsi="Cambria Math"/>
                  <w:sz w:val="18"/>
                </w:rPr>
                <m:t>(t)=DG</m:t>
              </m:r>
              <m:d>
                <m:dPr>
                  <m:ctrlPr>
                    <w:rPr>
                      <w:rFonts w:ascii="Cambria Math" w:hAnsi="Cambria Math"/>
                      <w:i/>
                      <w:sz w:val="18"/>
                    </w:rPr>
                  </m:ctrlPr>
                </m:dPr>
                <m:e>
                  <m:r>
                    <w:rPr>
                      <w:rFonts w:ascii="Cambria Math" w:hAnsi="Cambria Math"/>
                      <w:sz w:val="18"/>
                    </w:rPr>
                    <m:t>t</m:t>
                  </m:r>
                </m:e>
              </m:d>
              <m:r>
                <w:rPr>
                  <w:rFonts w:ascii="Cambria Math" w:hAnsi="Cambria Math"/>
                  <w:sz w:val="18"/>
                </w:rPr>
                <m:t>-DGX</m:t>
              </m:r>
              <m:d>
                <m:dPr>
                  <m:ctrlPr>
                    <w:rPr>
                      <w:rFonts w:ascii="Cambria Math" w:hAnsi="Cambria Math"/>
                      <w:i/>
                      <w:sz w:val="18"/>
                    </w:rPr>
                  </m:ctrlPr>
                </m:dPr>
                <m:e>
                  <m:r>
                    <w:rPr>
                      <w:rFonts w:ascii="Cambria Math" w:hAnsi="Cambria Math"/>
                      <w:sz w:val="18"/>
                    </w:rPr>
                    <m:t>t</m:t>
                  </m:r>
                </m:e>
              </m:d>
            </m:oMath>
          </w:p>
        </w:tc>
      </w:tr>
    </w:tbl>
    <w:p w14:paraId="6A13E55F" w14:textId="77777777" w:rsidR="00EC7113" w:rsidRDefault="00EC7113" w:rsidP="00CD74B7">
      <w:pPr>
        <w:pStyle w:val="TableTitle"/>
      </w:pPr>
    </w:p>
    <w:p w14:paraId="7355F355" w14:textId="7D84C8AF" w:rsidR="00CD74B7" w:rsidRPr="00FD0C04" w:rsidRDefault="00CD74B7" w:rsidP="00CD74B7">
      <w:pPr>
        <w:pStyle w:val="TableTitle"/>
      </w:pPr>
      <w:r>
        <w:t>Table 5</w:t>
      </w:r>
      <w:r>
        <w:tab/>
        <w:t>F</w:t>
      </w:r>
      <w:r w:rsidRPr="00FD0C04">
        <w:t>orecasting error (FE)</w:t>
      </w:r>
      <w:r>
        <w:t xml:space="preserve"> per region</w:t>
      </w:r>
    </w:p>
    <w:tbl>
      <w:tblPr>
        <w:tblStyle w:val="AEMOTable"/>
        <w:tblW w:w="9310" w:type="dxa"/>
        <w:tblLook w:val="0420" w:firstRow="1" w:lastRow="0" w:firstColumn="0" w:lastColumn="0" w:noHBand="0" w:noVBand="1"/>
      </w:tblPr>
      <w:tblGrid>
        <w:gridCol w:w="2127"/>
        <w:gridCol w:w="2143"/>
        <w:gridCol w:w="5040"/>
      </w:tblGrid>
      <w:tr w:rsidR="00CD74B7" w:rsidRPr="00FD0C04" w14:paraId="3A2D04F8" w14:textId="77777777" w:rsidTr="00FE0C40">
        <w:trPr>
          <w:cnfStyle w:val="100000000000" w:firstRow="1" w:lastRow="0" w:firstColumn="0" w:lastColumn="0" w:oddVBand="0" w:evenVBand="0" w:oddHBand="0" w:evenHBand="0" w:firstRowFirstColumn="0" w:firstRowLastColumn="0" w:lastRowFirstColumn="0" w:lastRowLastColumn="0"/>
        </w:trPr>
        <w:tc>
          <w:tcPr>
            <w:tcW w:w="2127" w:type="dxa"/>
          </w:tcPr>
          <w:p w14:paraId="436502F5" w14:textId="77777777" w:rsidR="00CD74B7" w:rsidRPr="00FD0C04" w:rsidRDefault="00CD74B7" w:rsidP="00FE0C40">
            <w:pPr>
              <w:keepNext/>
              <w:rPr>
                <w:rFonts w:asciiTheme="majorHAnsi" w:hAnsiTheme="majorHAnsi" w:cstheme="majorHAnsi"/>
                <w:b w:val="0"/>
                <w:sz w:val="18"/>
              </w:rPr>
            </w:pPr>
            <w:r w:rsidRPr="00FD0C04">
              <w:rPr>
                <w:rFonts w:asciiTheme="majorHAnsi" w:hAnsiTheme="majorHAnsi" w:cstheme="majorHAnsi"/>
                <w:sz w:val="18"/>
              </w:rPr>
              <w:t>Reference Trajectory</w:t>
            </w:r>
          </w:p>
        </w:tc>
        <w:tc>
          <w:tcPr>
            <w:tcW w:w="2143" w:type="dxa"/>
          </w:tcPr>
          <w:p w14:paraId="152F4D3E" w14:textId="77777777" w:rsidR="00CD74B7" w:rsidRPr="00FD0C04" w:rsidRDefault="00CD74B7" w:rsidP="00FE0C40">
            <w:pPr>
              <w:keepNext/>
              <w:rPr>
                <w:rFonts w:asciiTheme="majorHAnsi" w:hAnsiTheme="majorHAnsi" w:cstheme="majorHAnsi"/>
                <w:b w:val="0"/>
                <w:sz w:val="18"/>
              </w:rPr>
            </w:pPr>
            <w:r w:rsidRPr="00FD0C04">
              <w:rPr>
                <w:rFonts w:asciiTheme="majorHAnsi" w:hAnsiTheme="majorHAnsi" w:cstheme="majorHAnsi"/>
                <w:sz w:val="18"/>
              </w:rPr>
              <w:t>Actual Measurement</w:t>
            </w:r>
          </w:p>
        </w:tc>
        <w:tc>
          <w:tcPr>
            <w:tcW w:w="5040" w:type="dxa"/>
            <w:vAlign w:val="center"/>
          </w:tcPr>
          <w:p w14:paraId="52B30E00" w14:textId="77777777" w:rsidR="00CD74B7" w:rsidRPr="00FD0C04" w:rsidRDefault="00CD74B7" w:rsidP="00FE0C40">
            <w:pPr>
              <w:keepNext/>
              <w:rPr>
                <w:rFonts w:asciiTheme="majorHAnsi" w:hAnsiTheme="majorHAnsi" w:cstheme="majorHAnsi"/>
                <w:b w:val="0"/>
                <w:sz w:val="18"/>
              </w:rPr>
            </w:pPr>
            <w:r w:rsidRPr="00FD0C04">
              <w:rPr>
                <w:rFonts w:asciiTheme="majorHAnsi" w:hAnsiTheme="majorHAnsi" w:cstheme="majorHAnsi"/>
                <w:sz w:val="18"/>
              </w:rPr>
              <w:t>Example</w:t>
            </w:r>
          </w:p>
        </w:tc>
      </w:tr>
      <w:tr w:rsidR="00CD74B7" w:rsidRPr="00FD0C04" w14:paraId="0F13BC28" w14:textId="77777777" w:rsidTr="00FE0C40">
        <w:trPr>
          <w:cnfStyle w:val="000000100000" w:firstRow="0" w:lastRow="0" w:firstColumn="0" w:lastColumn="0" w:oddVBand="0" w:evenVBand="0" w:oddHBand="1" w:evenHBand="0" w:firstRowFirstColumn="0" w:firstRowLastColumn="0" w:lastRowFirstColumn="0" w:lastRowLastColumn="0"/>
        </w:trPr>
        <w:tc>
          <w:tcPr>
            <w:tcW w:w="2127" w:type="dxa"/>
          </w:tcPr>
          <w:p w14:paraId="6C24784E" w14:textId="77777777" w:rsidR="00CD74B7" w:rsidRPr="00FD0C04" w:rsidRDefault="00CD74B7" w:rsidP="00FE0C40">
            <w:pPr>
              <w:keepNext/>
              <w:rPr>
                <w:rFonts w:asciiTheme="majorHAnsi" w:hAnsiTheme="majorHAnsi" w:cstheme="majorHAnsi"/>
                <w:sz w:val="18"/>
              </w:rPr>
            </w:pPr>
            <w:r w:rsidRPr="00FD0C04">
              <w:rPr>
                <w:rFonts w:asciiTheme="majorHAnsi" w:hAnsiTheme="majorHAnsi" w:cstheme="majorHAnsi"/>
                <w:sz w:val="18"/>
              </w:rPr>
              <w:t>Straight line between previous and current dispatch interval demand forecast.</w:t>
            </w:r>
          </w:p>
        </w:tc>
        <w:tc>
          <w:tcPr>
            <w:tcW w:w="2143" w:type="dxa"/>
          </w:tcPr>
          <w:p w14:paraId="4E283CD9" w14:textId="77777777" w:rsidR="00CD74B7" w:rsidRPr="00FD0C04" w:rsidRDefault="00CD74B7" w:rsidP="00FE0C40">
            <w:pPr>
              <w:keepNext/>
              <w:rPr>
                <w:rFonts w:asciiTheme="majorHAnsi" w:hAnsiTheme="majorHAnsi" w:cstheme="majorHAnsi"/>
                <w:sz w:val="18"/>
              </w:rPr>
            </w:pPr>
            <w:r w:rsidRPr="00FD0C04">
              <w:rPr>
                <w:rFonts w:asciiTheme="majorHAnsi" w:hAnsiTheme="majorHAnsi" w:cstheme="majorHAnsi"/>
                <w:sz w:val="18"/>
              </w:rPr>
              <w:t>Least squares line of best fit of four-second regional demand during the current dispatch interval.</w:t>
            </w:r>
          </w:p>
        </w:tc>
        <w:tc>
          <w:tcPr>
            <w:tcW w:w="5040" w:type="dxa"/>
          </w:tcPr>
          <w:p w14:paraId="78B33C0D" w14:textId="77777777" w:rsidR="00CD74B7" w:rsidRPr="00FD0C04" w:rsidRDefault="00CD74B7" w:rsidP="00FE0C40">
            <w:pPr>
              <w:keepNext/>
              <w:spacing w:before="60" w:after="60"/>
              <w:jc w:val="center"/>
              <w:rPr>
                <w:rFonts w:asciiTheme="majorHAnsi" w:hAnsiTheme="majorHAnsi" w:cstheme="majorHAnsi"/>
                <w:sz w:val="18"/>
              </w:rPr>
            </w:pPr>
            <w:r w:rsidRPr="00FD0C04">
              <w:rPr>
                <w:rFonts w:asciiTheme="majorHAnsi" w:hAnsiTheme="majorHAnsi" w:cstheme="majorHAnsi"/>
                <w:noProof/>
                <w:sz w:val="18"/>
                <w:lang w:eastAsia="en-AU"/>
              </w:rPr>
              <w:drawing>
                <wp:inline distT="0" distB="0" distL="0" distR="0" wp14:anchorId="0C10134F" wp14:editId="5FC167A8">
                  <wp:extent cx="2714400" cy="1404000"/>
                  <wp:effectExtent l="0" t="0" r="0" b="571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3" r="2865"/>
                          <a:stretch/>
                        </pic:blipFill>
                        <pic:spPr bwMode="auto">
                          <a:xfrm>
                            <a:off x="0" y="0"/>
                            <a:ext cx="2714400"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74B7" w:rsidRPr="00FD0C04" w14:paraId="06140CDE" w14:textId="77777777" w:rsidTr="00FE0C40">
        <w:trPr>
          <w:cnfStyle w:val="000000010000" w:firstRow="0" w:lastRow="0" w:firstColumn="0" w:lastColumn="0" w:oddVBand="0" w:evenVBand="0" w:oddHBand="0" w:evenHBand="1" w:firstRowFirstColumn="0" w:firstRowLastColumn="0" w:lastRowFirstColumn="0" w:lastRowLastColumn="0"/>
        </w:trPr>
        <w:tc>
          <w:tcPr>
            <w:tcW w:w="2127" w:type="dxa"/>
          </w:tcPr>
          <w:p w14:paraId="032600B5" w14:textId="77777777" w:rsidR="00CD74B7" w:rsidRPr="00FD0C04" w:rsidRDefault="00CD74B7" w:rsidP="00FE0C40">
            <w:pPr>
              <w:spacing w:before="60" w:after="60"/>
              <w:rPr>
                <w:rFonts w:asciiTheme="majorHAnsi" w:hAnsiTheme="majorHAnsi" w:cstheme="majorHAnsi"/>
                <w:b/>
                <w:i/>
                <w:noProof/>
                <w:sz w:val="18"/>
                <w:vertAlign w:val="superscript"/>
                <w:lang w:eastAsia="en-AU"/>
              </w:rPr>
            </w:pPr>
            <w:r w:rsidRPr="00FD0C04">
              <w:rPr>
                <w:rFonts w:asciiTheme="majorHAnsi" w:hAnsiTheme="majorHAnsi" w:cstheme="majorHAnsi"/>
                <w:b/>
                <w:i/>
                <w:noProof/>
                <w:sz w:val="18"/>
                <w:lang w:eastAsia="en-AU"/>
              </w:rPr>
              <w:t>DGB(t)</w:t>
            </w:r>
          </w:p>
          <w:p w14:paraId="63F5DFBE" w14:textId="77777777" w:rsidR="00CD74B7" w:rsidRPr="00FD0C04" w:rsidRDefault="00CD74B7" w:rsidP="00FE0C40">
            <w:pPr>
              <w:spacing w:before="60" w:after="60"/>
              <w:rPr>
                <w:rFonts w:asciiTheme="majorHAnsi" w:hAnsiTheme="majorHAnsi" w:cstheme="majorHAnsi"/>
                <w:sz w:val="18"/>
              </w:rPr>
            </w:pPr>
            <w:r w:rsidRPr="00FD0C04">
              <w:rPr>
                <w:rFonts w:asciiTheme="majorHAnsi" w:hAnsiTheme="majorHAnsi" w:cstheme="majorHAnsi"/>
                <w:noProof/>
                <w:sz w:val="18"/>
                <w:lang w:eastAsia="en-AU"/>
              </w:rPr>
              <w:t>Source: straight line between MMS total demand values after subtracting ADE</w:t>
            </w:r>
            <w:r w:rsidRPr="00FD0C04">
              <w:rPr>
                <w:rStyle w:val="FootnoteReference"/>
                <w:rFonts w:asciiTheme="majorHAnsi" w:hAnsiTheme="majorHAnsi" w:cstheme="majorHAnsi"/>
                <w:sz w:val="18"/>
              </w:rPr>
              <w:footnoteReference w:id="5"/>
            </w:r>
            <w:r w:rsidRPr="00FD0C04">
              <w:rPr>
                <w:rFonts w:asciiTheme="majorHAnsi" w:hAnsiTheme="majorHAnsi" w:cstheme="majorHAnsi"/>
                <w:noProof/>
                <w:sz w:val="18"/>
                <w:lang w:eastAsia="en-AU"/>
              </w:rPr>
              <w:t>.</w:t>
            </w:r>
          </w:p>
        </w:tc>
        <w:tc>
          <w:tcPr>
            <w:tcW w:w="2143" w:type="dxa"/>
          </w:tcPr>
          <w:p w14:paraId="6A955A82" w14:textId="77777777" w:rsidR="00CD74B7" w:rsidRPr="00FD0C04" w:rsidRDefault="00CD74B7" w:rsidP="00FE0C40">
            <w:pPr>
              <w:spacing w:before="60" w:after="60"/>
              <w:rPr>
                <w:rFonts w:asciiTheme="majorHAnsi" w:hAnsiTheme="majorHAnsi" w:cstheme="majorHAnsi"/>
                <w:b/>
                <w:i/>
                <w:noProof/>
                <w:sz w:val="18"/>
                <w:lang w:eastAsia="en-AU"/>
              </w:rPr>
            </w:pPr>
            <w:r w:rsidRPr="00FD0C04">
              <w:rPr>
                <w:rFonts w:asciiTheme="majorHAnsi" w:hAnsiTheme="majorHAnsi" w:cstheme="majorHAnsi"/>
                <w:b/>
                <w:i/>
                <w:noProof/>
                <w:sz w:val="18"/>
                <w:lang w:eastAsia="en-AU"/>
              </w:rPr>
              <w:t>DGX(t)</w:t>
            </w:r>
          </w:p>
          <w:p w14:paraId="7EBE1FF0" w14:textId="77777777" w:rsidR="00CD74B7" w:rsidRPr="00FD0C04" w:rsidRDefault="00CD74B7" w:rsidP="00FE0C40">
            <w:pPr>
              <w:spacing w:before="60" w:after="60"/>
              <w:rPr>
                <w:rFonts w:asciiTheme="majorHAnsi" w:hAnsiTheme="majorHAnsi" w:cstheme="majorHAnsi"/>
                <w:sz w:val="18"/>
              </w:rPr>
            </w:pPr>
            <w:r w:rsidRPr="00FD0C04">
              <w:rPr>
                <w:rFonts w:asciiTheme="majorHAnsi" w:hAnsiTheme="majorHAnsi" w:cstheme="majorHAnsi"/>
                <w:noProof/>
                <w:sz w:val="18"/>
                <w:lang w:eastAsia="en-AU"/>
              </w:rPr>
              <w:t xml:space="preserve">Source: function which converts 5-minutes of </w:t>
            </w:r>
            <w:r w:rsidRPr="00FD0C04">
              <w:rPr>
                <w:rFonts w:asciiTheme="majorHAnsi" w:hAnsiTheme="majorHAnsi" w:cstheme="majorHAnsi"/>
                <w:b/>
                <w:noProof/>
                <w:sz w:val="18"/>
                <w:lang w:eastAsia="en-AU"/>
              </w:rPr>
              <w:t>DG(t)</w:t>
            </w:r>
            <w:r w:rsidRPr="00FD0C04">
              <w:rPr>
                <w:rFonts w:asciiTheme="majorHAnsi" w:hAnsiTheme="majorHAnsi" w:cstheme="majorHAnsi"/>
                <w:noProof/>
                <w:sz w:val="18"/>
                <w:lang w:eastAsia="en-AU"/>
              </w:rPr>
              <w:t xml:space="preserve"> values into a line of best fit.</w:t>
            </w:r>
          </w:p>
        </w:tc>
        <w:tc>
          <w:tcPr>
            <w:tcW w:w="5040" w:type="dxa"/>
          </w:tcPr>
          <w:p w14:paraId="5EDC3DE9" w14:textId="77777777" w:rsidR="00CD74B7" w:rsidRPr="00FD0C04" w:rsidRDefault="00CD74B7" w:rsidP="00FE0C40">
            <w:pPr>
              <w:spacing w:before="60" w:after="60"/>
              <w:jc w:val="center"/>
              <w:rPr>
                <w:rFonts w:asciiTheme="majorHAnsi" w:hAnsiTheme="majorHAnsi" w:cstheme="majorHAnsi"/>
                <w:sz w:val="18"/>
              </w:rPr>
            </w:pPr>
            <m:oMathPara>
              <m:oMath>
                <m:r>
                  <w:rPr>
                    <w:rFonts w:ascii="Cambria Math" w:hAnsi="Cambria Math" w:cstheme="majorHAnsi"/>
                    <w:sz w:val="18"/>
                  </w:rPr>
                  <m:t>Forecast Deviation=ReferenceDemand-ForecastDemand</m:t>
                </m:r>
              </m:oMath>
            </m:oMathPara>
          </w:p>
          <w:p w14:paraId="423FFA12" w14:textId="77777777" w:rsidR="00CD74B7" w:rsidRPr="00FD0C04" w:rsidRDefault="00CD74B7" w:rsidP="00FE0C40">
            <w:pPr>
              <w:spacing w:before="60" w:after="60"/>
              <w:jc w:val="center"/>
              <w:rPr>
                <w:rFonts w:asciiTheme="majorHAnsi" w:hAnsiTheme="majorHAnsi" w:cstheme="majorHAnsi"/>
                <w:sz w:val="18"/>
              </w:rPr>
            </w:pPr>
          </w:p>
          <w:p w14:paraId="2B6969FE" w14:textId="77777777" w:rsidR="00CD74B7" w:rsidRPr="00FD0C04" w:rsidRDefault="00CD74B7" w:rsidP="00FE0C40">
            <w:pPr>
              <w:spacing w:before="60" w:after="60"/>
              <w:jc w:val="center"/>
              <w:rPr>
                <w:rFonts w:asciiTheme="majorHAnsi" w:hAnsiTheme="majorHAnsi" w:cstheme="majorHAnsi"/>
                <w:sz w:val="18"/>
              </w:rPr>
            </w:pPr>
            <w:r w:rsidRPr="00FD0C04">
              <w:rPr>
                <w:rFonts w:asciiTheme="majorHAnsi" w:hAnsiTheme="majorHAnsi" w:cstheme="majorHAnsi"/>
                <w:b/>
                <w:sz w:val="18"/>
              </w:rPr>
              <w:t xml:space="preserve">EQ. </w:t>
            </w:r>
            <w:r w:rsidRPr="00FD0C04">
              <w:rPr>
                <w:rFonts w:asciiTheme="majorHAnsi" w:hAnsiTheme="majorHAnsi" w:cstheme="majorHAnsi"/>
                <w:b/>
                <w:sz w:val="18"/>
              </w:rPr>
              <w:fldChar w:fldCharType="begin"/>
            </w:r>
            <w:r w:rsidRPr="00FD0C04">
              <w:rPr>
                <w:rFonts w:asciiTheme="majorHAnsi" w:hAnsiTheme="majorHAnsi" w:cstheme="majorHAnsi"/>
                <w:b/>
                <w:sz w:val="18"/>
              </w:rPr>
              <w:instrText xml:space="preserve"> SEQ Eq. \* ARABIC </w:instrText>
            </w:r>
            <w:r w:rsidRPr="00FD0C04">
              <w:rPr>
                <w:rFonts w:asciiTheme="majorHAnsi" w:hAnsiTheme="majorHAnsi" w:cstheme="majorHAnsi"/>
                <w:b/>
                <w:sz w:val="18"/>
              </w:rPr>
              <w:fldChar w:fldCharType="separate"/>
            </w:r>
            <w:r w:rsidR="003E2BF7">
              <w:rPr>
                <w:rFonts w:asciiTheme="majorHAnsi" w:hAnsiTheme="majorHAnsi" w:cstheme="majorHAnsi"/>
                <w:b/>
                <w:noProof/>
                <w:sz w:val="18"/>
              </w:rPr>
              <w:t>6</w:t>
            </w:r>
            <w:r w:rsidRPr="00FD0C04">
              <w:rPr>
                <w:rFonts w:asciiTheme="majorHAnsi" w:hAnsiTheme="majorHAnsi" w:cstheme="majorHAnsi"/>
                <w:b/>
                <w:sz w:val="18"/>
              </w:rPr>
              <w:fldChar w:fldCharType="end"/>
            </w:r>
            <w:r w:rsidRPr="00FD0C04">
              <w:rPr>
                <w:rFonts w:asciiTheme="majorHAnsi" w:hAnsiTheme="majorHAnsi" w:cstheme="majorHAnsi"/>
                <w:b/>
                <w:sz w:val="18"/>
              </w:rPr>
              <w:tab/>
            </w:r>
            <w:r w:rsidRPr="00FD0C04">
              <w:rPr>
                <w:rFonts w:asciiTheme="majorHAnsi" w:hAnsiTheme="majorHAnsi" w:cstheme="majorHAnsi"/>
                <w:b/>
                <w:sz w:val="18"/>
              </w:rPr>
              <w:tab/>
            </w:r>
            <m:oMath>
              <m:sSub>
                <m:sSubPr>
                  <m:ctrlPr>
                    <w:rPr>
                      <w:rFonts w:ascii="Cambria Math" w:hAnsi="Cambria Math" w:cstheme="majorHAnsi"/>
                      <w:i/>
                      <w:sz w:val="18"/>
                    </w:rPr>
                  </m:ctrlPr>
                </m:sSubPr>
                <m:e>
                  <m:r>
                    <w:rPr>
                      <w:rFonts w:ascii="Cambria Math" w:hAnsi="Cambria Math" w:cstheme="majorHAnsi"/>
                      <w:sz w:val="18"/>
                    </w:rPr>
                    <m:t>E</m:t>
                  </m:r>
                </m:e>
                <m:sub>
                  <m:r>
                    <w:rPr>
                      <w:rFonts w:ascii="Cambria Math" w:hAnsi="Cambria Math" w:cstheme="majorHAnsi"/>
                      <w:sz w:val="18"/>
                    </w:rPr>
                    <m:t>FE</m:t>
                  </m:r>
                </m:sub>
              </m:sSub>
              <m:r>
                <w:rPr>
                  <w:rFonts w:ascii="Cambria Math" w:hAnsi="Cambria Math" w:cstheme="majorHAnsi"/>
                  <w:sz w:val="18"/>
                </w:rPr>
                <m:t>(t)=DGX</m:t>
              </m:r>
              <m:d>
                <m:dPr>
                  <m:ctrlPr>
                    <w:rPr>
                      <w:rFonts w:ascii="Cambria Math" w:hAnsi="Cambria Math" w:cstheme="majorHAnsi"/>
                      <w:i/>
                      <w:sz w:val="18"/>
                    </w:rPr>
                  </m:ctrlPr>
                </m:dPr>
                <m:e>
                  <m:r>
                    <w:rPr>
                      <w:rFonts w:ascii="Cambria Math" w:hAnsi="Cambria Math" w:cstheme="majorHAnsi"/>
                      <w:sz w:val="18"/>
                    </w:rPr>
                    <m:t>t</m:t>
                  </m:r>
                </m:e>
              </m:d>
              <m:r>
                <w:rPr>
                  <w:rFonts w:ascii="Cambria Math" w:hAnsi="Cambria Math" w:cstheme="majorHAnsi"/>
                  <w:sz w:val="18"/>
                </w:rPr>
                <m:t>-DGB</m:t>
              </m:r>
              <m:d>
                <m:dPr>
                  <m:ctrlPr>
                    <w:rPr>
                      <w:rFonts w:ascii="Cambria Math" w:hAnsi="Cambria Math" w:cstheme="majorHAnsi"/>
                      <w:i/>
                      <w:sz w:val="18"/>
                    </w:rPr>
                  </m:ctrlPr>
                </m:dPr>
                <m:e>
                  <m:r>
                    <w:rPr>
                      <w:rFonts w:ascii="Cambria Math" w:hAnsi="Cambria Math" w:cstheme="majorHAnsi"/>
                      <w:sz w:val="18"/>
                    </w:rPr>
                    <m:t>t</m:t>
                  </m:r>
                </m:e>
              </m:d>
            </m:oMath>
          </w:p>
        </w:tc>
      </w:tr>
    </w:tbl>
    <w:p w14:paraId="4A3E6116" w14:textId="77777777" w:rsidR="00CD74B7" w:rsidRDefault="00CD74B7" w:rsidP="00CD74B7">
      <w:pPr>
        <w:rPr>
          <w:sz w:val="18"/>
        </w:rPr>
      </w:pPr>
    </w:p>
    <w:p w14:paraId="60DFDC38" w14:textId="47258894" w:rsidR="00CD74B7" w:rsidRDefault="00FE0C40" w:rsidP="00FE0C40">
      <w:pPr>
        <w:pStyle w:val="Heading2"/>
      </w:pPr>
      <w:bookmarkStart w:id="40" w:name="_Toc508896708"/>
      <w:r>
        <w:t>Scale Deviations by the FI</w:t>
      </w:r>
      <w:bookmarkEnd w:id="40"/>
    </w:p>
    <w:p w14:paraId="05F55DDA" w14:textId="38FD5622" w:rsidR="008C137C" w:rsidRDefault="008C137C" w:rsidP="008C137C">
      <w:pPr>
        <w:pStyle w:val="ResetPara"/>
      </w:pPr>
    </w:p>
    <w:p w14:paraId="69DE1F7B" w14:textId="01D24C28" w:rsidR="008C137C" w:rsidRPr="008C137C" w:rsidRDefault="008C137C" w:rsidP="008C137C">
      <w:pPr>
        <w:pStyle w:val="Heading3"/>
      </w:pPr>
      <w:r>
        <w:t>General</w:t>
      </w:r>
    </w:p>
    <w:p w14:paraId="04CDA1E4" w14:textId="5C4BC9B8" w:rsidR="00FF0414" w:rsidRDefault="00FF0414" w:rsidP="00FF0414">
      <w:pPr>
        <w:pStyle w:val="ResetPara"/>
      </w:pPr>
    </w:p>
    <w:p w14:paraId="628671FB" w14:textId="58A9C9DE" w:rsidR="00FF0414" w:rsidRDefault="00FF0414" w:rsidP="00FF0414">
      <w:pPr>
        <w:pStyle w:val="Lista"/>
      </w:pPr>
      <w:r w:rsidRPr="00FF0414">
        <w:t xml:space="preserve">The </w:t>
      </w:r>
      <w:r>
        <w:t>4-</w:t>
      </w:r>
      <w:r w:rsidRPr="00FF0414">
        <w:t xml:space="preserve">second deviation values </w:t>
      </w:r>
      <w:r w:rsidR="00E25DC9">
        <w:t xml:space="preserve">determined </w:t>
      </w:r>
      <w:r>
        <w:t xml:space="preserve">under </w:t>
      </w:r>
      <w:r w:rsidR="004220A7">
        <w:t>clause</w:t>
      </w:r>
      <w:r>
        <w:t xml:space="preserve"> </w:t>
      </w:r>
      <w:r>
        <w:fldChar w:fldCharType="begin"/>
      </w:r>
      <w:r>
        <w:instrText xml:space="preserve"> REF _Ref506182252 \r \h </w:instrText>
      </w:r>
      <w:r>
        <w:fldChar w:fldCharType="separate"/>
      </w:r>
      <w:r w:rsidR="003E2BF7">
        <w:t>5.1</w:t>
      </w:r>
      <w:r>
        <w:fldChar w:fldCharType="end"/>
      </w:r>
      <w:r w:rsidRPr="00FF0414">
        <w:t xml:space="preserve"> are multiplied by</w:t>
      </w:r>
      <w:r>
        <w:t xml:space="preserve"> the value of FI, with the objectives of</w:t>
      </w:r>
      <w:r w:rsidRPr="00FF0414">
        <w:t>:</w:t>
      </w:r>
    </w:p>
    <w:p w14:paraId="1CFE8567" w14:textId="5D3A4669" w:rsidR="00FF0414" w:rsidRDefault="00FF0414" w:rsidP="00FF0414">
      <w:pPr>
        <w:pStyle w:val="Listi"/>
      </w:pPr>
      <w:r>
        <w:t>w</w:t>
      </w:r>
      <w:r w:rsidRPr="00FF0414">
        <w:t>eight</w:t>
      </w:r>
      <w:r>
        <w:t>ing</w:t>
      </w:r>
      <w:r w:rsidRPr="00FF0414">
        <w:t xml:space="preserve"> the deviation by its significance</w:t>
      </w:r>
      <w:r>
        <w:t xml:space="preserve"> so that, f</w:t>
      </w:r>
      <w:r w:rsidRPr="00FF0414">
        <w:t xml:space="preserve">or example, in periods where the system is under </w:t>
      </w:r>
      <w:r w:rsidRPr="00FF0414">
        <w:rPr>
          <w:i/>
        </w:rPr>
        <w:t>frequency</w:t>
      </w:r>
      <w:r w:rsidRPr="00FF0414">
        <w:t xml:space="preserve"> stress, deviations </w:t>
      </w:r>
      <w:r>
        <w:t>have a higher weighting; and</w:t>
      </w:r>
    </w:p>
    <w:p w14:paraId="1FAC0E67" w14:textId="50951DBA" w:rsidR="00FF0414" w:rsidRDefault="00FF0414" w:rsidP="00FF0414">
      <w:pPr>
        <w:pStyle w:val="Listi"/>
      </w:pPr>
      <w:r>
        <w:t>identifying</w:t>
      </w:r>
      <w:r w:rsidRPr="00FF0414">
        <w:t xml:space="preserve"> ‘helpful’ deviations</w:t>
      </w:r>
      <w:r>
        <w:t>, i.e.</w:t>
      </w:r>
      <w:r w:rsidRPr="00FF0414">
        <w:t xml:space="preserve"> a deviation which reduces frequency in a period where frequency is too high, or vice versa</w:t>
      </w:r>
      <w:r>
        <w:t>.</w:t>
      </w:r>
    </w:p>
    <w:p w14:paraId="666189F2" w14:textId="12B1DED8" w:rsidR="00FF0414" w:rsidRDefault="00FF0414" w:rsidP="00FF0414">
      <w:pPr>
        <w:pStyle w:val="Lista"/>
      </w:pPr>
      <w:r w:rsidRPr="00FF0414">
        <w:lastRenderedPageBreak/>
        <w:t>The FI va</w:t>
      </w:r>
      <w:r>
        <w:t xml:space="preserve">lue </w:t>
      </w:r>
      <w:r w:rsidRPr="00FF0414">
        <w:t xml:space="preserve">represents the </w:t>
      </w:r>
      <w:r w:rsidR="00D80A7C">
        <w:t xml:space="preserve">total Regulation FCAS requirement identified </w:t>
      </w:r>
      <w:r w:rsidRPr="00FF0414">
        <w:t>by AEMO’s A</w:t>
      </w:r>
      <w:r>
        <w:t>GC</w:t>
      </w:r>
      <w:r w:rsidRPr="00FF0414">
        <w:t xml:space="preserve"> in a given </w:t>
      </w:r>
      <w:r>
        <w:t xml:space="preserve">4 </w:t>
      </w:r>
      <w:r w:rsidRPr="00FF0414">
        <w:t>second period</w:t>
      </w:r>
      <w:r>
        <w:t>, where:</w:t>
      </w:r>
    </w:p>
    <w:p w14:paraId="392836CB" w14:textId="1DAC84C1" w:rsidR="00FF0414" w:rsidRDefault="00FF0414" w:rsidP="00FF0414">
      <w:pPr>
        <w:pStyle w:val="Listi"/>
      </w:pPr>
      <w:r>
        <w:t>a</w:t>
      </w:r>
      <w:r w:rsidRPr="00FF0414">
        <w:t xml:space="preserve"> positive FI value indicates </w:t>
      </w:r>
      <w:r w:rsidR="00D80A7C">
        <w:t xml:space="preserve">a </w:t>
      </w:r>
      <w:r>
        <w:rPr>
          <w:i/>
        </w:rPr>
        <w:t>regulation raise service</w:t>
      </w:r>
      <w:r w:rsidR="00D80A7C">
        <w:rPr>
          <w:i/>
        </w:rPr>
        <w:t xml:space="preserve"> </w:t>
      </w:r>
      <w:r w:rsidR="00D80A7C">
        <w:t>requirement</w:t>
      </w:r>
      <w:r>
        <w:t xml:space="preserve">; and </w:t>
      </w:r>
    </w:p>
    <w:p w14:paraId="03A25692" w14:textId="3DD61D67" w:rsidR="00FF0414" w:rsidRDefault="00FF0414" w:rsidP="00FF0414">
      <w:pPr>
        <w:pStyle w:val="Listi"/>
      </w:pPr>
      <w:r>
        <w:t xml:space="preserve">a </w:t>
      </w:r>
      <w:r w:rsidRPr="00FF0414">
        <w:t xml:space="preserve">negative FI value indicates </w:t>
      </w:r>
      <w:r w:rsidR="00D80A7C">
        <w:t>a</w:t>
      </w:r>
      <w:r w:rsidRPr="00FF0414">
        <w:t xml:space="preserve"> </w:t>
      </w:r>
      <w:r>
        <w:rPr>
          <w:i/>
        </w:rPr>
        <w:t>regulation lower service</w:t>
      </w:r>
      <w:r w:rsidR="00D80A7C">
        <w:rPr>
          <w:i/>
        </w:rPr>
        <w:t xml:space="preserve"> </w:t>
      </w:r>
      <w:r w:rsidR="00D80A7C">
        <w:t>requirement</w:t>
      </w:r>
      <w:r>
        <w:t>.</w:t>
      </w:r>
    </w:p>
    <w:p w14:paraId="5A668C0C" w14:textId="1CE1B1D3" w:rsidR="00FF0414" w:rsidRDefault="00FF0414" w:rsidP="00F6310B">
      <w:pPr>
        <w:pStyle w:val="Lista"/>
      </w:pPr>
      <w:r w:rsidRPr="00FF0414">
        <w:t xml:space="preserve">The AGC calculates the total </w:t>
      </w:r>
      <w:r>
        <w:t xml:space="preserve">Regulation FCAS </w:t>
      </w:r>
      <w:r w:rsidR="008C137C">
        <w:t xml:space="preserve">requirement and resulting FI value </w:t>
      </w:r>
      <w:r>
        <w:t xml:space="preserve">using the </w:t>
      </w:r>
      <w:r w:rsidRPr="00FF0414">
        <w:t xml:space="preserve">logic </w:t>
      </w:r>
      <w:r w:rsidR="008C137C">
        <w:t xml:space="preserve">set out in clauses </w:t>
      </w:r>
      <w:r w:rsidR="008C137C">
        <w:fldChar w:fldCharType="begin"/>
      </w:r>
      <w:r w:rsidR="008C137C">
        <w:instrText xml:space="preserve"> REF _Ref506845176 \r \h </w:instrText>
      </w:r>
      <w:r w:rsidR="008C137C">
        <w:fldChar w:fldCharType="separate"/>
      </w:r>
      <w:r w:rsidR="003E2BF7">
        <w:t>5.2.2</w:t>
      </w:r>
      <w:r w:rsidR="008C137C">
        <w:fldChar w:fldCharType="end"/>
      </w:r>
      <w:r w:rsidR="008C137C">
        <w:t xml:space="preserve"> to </w:t>
      </w:r>
      <w:r w:rsidR="008C137C">
        <w:fldChar w:fldCharType="begin"/>
      </w:r>
      <w:r w:rsidR="008C137C">
        <w:instrText xml:space="preserve"> REF _Ref506845194 \r \h </w:instrText>
      </w:r>
      <w:r w:rsidR="008C137C">
        <w:fldChar w:fldCharType="separate"/>
      </w:r>
      <w:r w:rsidR="003E2BF7">
        <w:t>5.2.4</w:t>
      </w:r>
      <w:r w:rsidR="008C137C">
        <w:fldChar w:fldCharType="end"/>
      </w:r>
      <w:r w:rsidR="00E25DC9">
        <w:t xml:space="preserve"> </w:t>
      </w:r>
      <w:r w:rsidRPr="00FF0414">
        <w:t>(noting that the applicable gains and thresholds are derived by AEMO from time to time during tuning of the AGC).</w:t>
      </w:r>
    </w:p>
    <w:p w14:paraId="4333C309" w14:textId="16893F0F" w:rsidR="008C137C" w:rsidRDefault="008C137C" w:rsidP="008C137C">
      <w:pPr>
        <w:pStyle w:val="Heading3"/>
      </w:pPr>
      <w:bookmarkStart w:id="41" w:name="_Ref506845176"/>
      <w:r>
        <w:t>Area control error</w:t>
      </w:r>
      <w:bookmarkEnd w:id="41"/>
    </w:p>
    <w:p w14:paraId="2A44F2B3" w14:textId="77777777" w:rsidR="008C137C" w:rsidRPr="008C137C" w:rsidRDefault="008C137C" w:rsidP="008C137C">
      <w:pPr>
        <w:pStyle w:val="ResetPara"/>
      </w:pPr>
    </w:p>
    <w:p w14:paraId="33CE0384" w14:textId="77777777" w:rsidR="008C137C" w:rsidRPr="00FD0C04" w:rsidRDefault="008C137C" w:rsidP="008C137C">
      <w:pPr>
        <w:pStyle w:val="Lista"/>
      </w:pPr>
      <w:r w:rsidRPr="00FD0C04">
        <w:t>AEMO first calculates an area control error</w:t>
      </w:r>
      <w:r>
        <w:t xml:space="preserve"> (ACE)</w:t>
      </w:r>
      <w:r w:rsidRPr="00FD0C04">
        <w:t xml:space="preserve">, representing the MW equivalent size of the current frequency deviation and accumulated frequency deviation (time error) of the system. </w:t>
      </w:r>
    </w:p>
    <w:p w14:paraId="0169B13B" w14:textId="77777777" w:rsidR="008C137C" w:rsidRPr="00FD0C04" w:rsidRDefault="008C137C" w:rsidP="008C137C">
      <w:pPr>
        <w:pStyle w:val="ParaFlw1"/>
        <w:rPr>
          <w:rFonts w:asciiTheme="majorHAnsi" w:hAnsiTheme="majorHAnsi"/>
        </w:rPr>
      </w:pPr>
      <w:bookmarkStart w:id="42" w:name="_Ref474501287"/>
      <w:r w:rsidRPr="00FD0C04">
        <w:rPr>
          <w:rFonts w:asciiTheme="majorHAnsi" w:hAnsiTheme="majorHAnsi"/>
          <w:b/>
        </w:rPr>
        <w:t xml:space="preserve">EQ. </w:t>
      </w:r>
      <w:r w:rsidRPr="00FD0C04">
        <w:rPr>
          <w:rFonts w:asciiTheme="majorHAnsi" w:hAnsiTheme="majorHAnsi"/>
          <w:b/>
        </w:rPr>
        <w:fldChar w:fldCharType="begin"/>
      </w:r>
      <w:r w:rsidRPr="00FD0C04">
        <w:rPr>
          <w:rFonts w:asciiTheme="majorHAnsi" w:hAnsiTheme="majorHAnsi"/>
          <w:b/>
        </w:rPr>
        <w:instrText xml:space="preserve"> SEQ Eq. \* ARABIC </w:instrText>
      </w:r>
      <w:r w:rsidRPr="00FD0C04">
        <w:rPr>
          <w:rFonts w:asciiTheme="majorHAnsi" w:hAnsiTheme="majorHAnsi"/>
          <w:b/>
        </w:rPr>
        <w:fldChar w:fldCharType="separate"/>
      </w:r>
      <w:r w:rsidR="003E2BF7">
        <w:rPr>
          <w:rFonts w:asciiTheme="majorHAnsi" w:hAnsiTheme="majorHAnsi"/>
          <w:b/>
          <w:noProof/>
        </w:rPr>
        <w:t>7</w:t>
      </w:r>
      <w:r w:rsidRPr="00FD0C04">
        <w:rPr>
          <w:rFonts w:asciiTheme="majorHAnsi" w:hAnsiTheme="majorHAnsi"/>
          <w:b/>
        </w:rPr>
        <w:fldChar w:fldCharType="end"/>
      </w:r>
      <w:bookmarkEnd w:id="42"/>
      <w:r w:rsidRPr="00FD0C04">
        <w:rPr>
          <w:rFonts w:asciiTheme="majorHAnsi" w:hAnsiTheme="majorHAnsi"/>
          <w:b/>
        </w:rPr>
        <w:tab/>
      </w:r>
      <w:r w:rsidRPr="00FD0C04">
        <w:rPr>
          <w:rFonts w:asciiTheme="majorHAnsi" w:hAnsiTheme="majorHAnsi"/>
          <w:b/>
        </w:rPr>
        <w:tab/>
      </w:r>
      <m:oMath>
        <m:r>
          <w:rPr>
            <w:rFonts w:ascii="Cambria Math" w:hAnsi="Cambria Math"/>
          </w:rPr>
          <m:t>ACE</m:t>
        </m:r>
        <m:r>
          <m:rPr>
            <m:sty m:val="p"/>
          </m:rPr>
          <w:rPr>
            <w:rFonts w:ascii="Cambria Math" w:hAnsi="Cambria Math"/>
          </w:rPr>
          <m:t>=10∙</m:t>
        </m:r>
        <m:r>
          <w:rPr>
            <w:rFonts w:ascii="Cambria Math" w:hAnsi="Cambria Math"/>
          </w:rPr>
          <m:t>Bias</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FS</m:t>
        </m:r>
        <m:r>
          <m:rPr>
            <m:sty m:val="p"/>
          </m:rPr>
          <w:rPr>
            <w:rFonts w:ascii="Cambria Math" w:hAnsi="Cambria Math"/>
          </w:rPr>
          <m:t>-</m:t>
        </m:r>
        <m:r>
          <w:rPr>
            <w:rFonts w:ascii="Cambria Math" w:hAnsi="Cambria Math"/>
          </w:rPr>
          <m:t>FO</m:t>
        </m:r>
        <m:r>
          <m:rPr>
            <m:sty m:val="p"/>
          </m:rPr>
          <w:rPr>
            <w:rFonts w:ascii="Cambria Math" w:hAnsi="Cambria Math"/>
          </w:rPr>
          <m:t>)</m:t>
        </m:r>
      </m:oMath>
    </w:p>
    <w:p w14:paraId="4EC0C27B" w14:textId="77777777" w:rsidR="008C137C" w:rsidRPr="00FD0C04" w:rsidRDefault="008C137C" w:rsidP="008C137C">
      <w:pPr>
        <w:pStyle w:val="ParaFlw1"/>
      </w:pPr>
      <w:r w:rsidRPr="00FD0C04">
        <w:t>Where:</w:t>
      </w:r>
    </w:p>
    <w:p w14:paraId="53F1BC4E" w14:textId="1ACA91EB" w:rsidR="008C137C" w:rsidRPr="008C137C" w:rsidRDefault="008C137C" w:rsidP="008C137C">
      <w:pPr>
        <w:pStyle w:val="Listi"/>
      </w:pPr>
      <w:r w:rsidRPr="008C137C">
        <w:rPr>
          <w:b/>
          <w:i/>
        </w:rPr>
        <w:t>Bias</w:t>
      </w:r>
      <w:r w:rsidRPr="008C137C">
        <w:t xml:space="preserve"> is the area frequency bias and is a tuned value that represents the conversion ratio between MW and Hz of frequency deviation</w:t>
      </w:r>
      <w:r>
        <w:t>;</w:t>
      </w:r>
    </w:p>
    <w:p w14:paraId="7BD1D68C" w14:textId="1B3BD8A4" w:rsidR="008C137C" w:rsidRPr="008C137C" w:rsidRDefault="008C137C" w:rsidP="008C137C">
      <w:pPr>
        <w:pStyle w:val="Listi"/>
      </w:pPr>
      <w:r w:rsidRPr="008C137C">
        <w:rPr>
          <w:b/>
          <w:i/>
        </w:rPr>
        <w:t>F</w:t>
      </w:r>
      <w:r w:rsidRPr="008C137C">
        <w:t xml:space="preserve"> is the current measured s</w:t>
      </w:r>
      <w:r>
        <w:t>ystem frequency;</w:t>
      </w:r>
    </w:p>
    <w:p w14:paraId="3C20AD60" w14:textId="45E52BAB" w:rsidR="008C137C" w:rsidRPr="008C137C" w:rsidRDefault="008C137C" w:rsidP="008C137C">
      <w:pPr>
        <w:pStyle w:val="Listi"/>
      </w:pPr>
      <w:r w:rsidRPr="008C137C">
        <w:rPr>
          <w:b/>
          <w:i/>
        </w:rPr>
        <w:t>FS</w:t>
      </w:r>
      <w:r w:rsidRPr="008C137C">
        <w:t xml:space="preserve"> is t</w:t>
      </w:r>
      <w:r>
        <w:t>he scheduled frequency (50.0Hz); and</w:t>
      </w:r>
    </w:p>
    <w:p w14:paraId="4CA800BC" w14:textId="77777777" w:rsidR="008C137C" w:rsidRPr="008C137C" w:rsidRDefault="008C137C" w:rsidP="008C137C">
      <w:pPr>
        <w:pStyle w:val="Listi"/>
      </w:pPr>
      <w:r w:rsidRPr="008C137C">
        <w:rPr>
          <w:b/>
          <w:i/>
        </w:rPr>
        <w:t>FO</w:t>
      </w:r>
      <w:r w:rsidRPr="008C137C">
        <w:t xml:space="preserve"> is a frequency offset representing accumulated frequency deviation, i.e. time error.</w:t>
      </w:r>
    </w:p>
    <w:p w14:paraId="6431035D" w14:textId="77777777" w:rsidR="008C137C" w:rsidRPr="00FD0C04" w:rsidRDefault="008C137C" w:rsidP="008C137C">
      <w:pPr>
        <w:pStyle w:val="Lista"/>
      </w:pPr>
      <w:r w:rsidRPr="00FD0C04">
        <w:t xml:space="preserve">The AGC works on a proportional-integral controller feedback logic, and so </w:t>
      </w:r>
      <w:r>
        <w:t>AGC</w:t>
      </w:r>
      <w:r w:rsidRPr="00FD0C04">
        <w:t xml:space="preserve"> also calculates an integral of the ACE value </w:t>
      </w:r>
      <w:r>
        <w:t xml:space="preserve">(ACEI) </w:t>
      </w:r>
      <w:r w:rsidRPr="00FD0C04">
        <w:t>using repeated addition, as follows:</w:t>
      </w:r>
    </w:p>
    <w:p w14:paraId="475AE32C" w14:textId="77777777" w:rsidR="008C137C" w:rsidRPr="00FD0C04" w:rsidRDefault="008C137C" w:rsidP="008C137C">
      <w:pPr>
        <w:pStyle w:val="ParaFlw1"/>
        <w:rPr>
          <w:rFonts w:asciiTheme="majorHAnsi" w:hAnsiTheme="majorHAnsi"/>
        </w:rPr>
      </w:pPr>
      <w:bookmarkStart w:id="43" w:name="_Ref474501296"/>
      <w:r w:rsidRPr="00FD0C04">
        <w:rPr>
          <w:rFonts w:asciiTheme="majorHAnsi" w:hAnsiTheme="majorHAnsi"/>
          <w:b/>
        </w:rPr>
        <w:t xml:space="preserve">EQ. </w:t>
      </w:r>
      <w:r w:rsidRPr="00FD0C04">
        <w:rPr>
          <w:rFonts w:asciiTheme="majorHAnsi" w:hAnsiTheme="majorHAnsi"/>
          <w:b/>
        </w:rPr>
        <w:fldChar w:fldCharType="begin"/>
      </w:r>
      <w:r w:rsidRPr="00FD0C04">
        <w:rPr>
          <w:rFonts w:asciiTheme="majorHAnsi" w:hAnsiTheme="majorHAnsi"/>
          <w:b/>
        </w:rPr>
        <w:instrText xml:space="preserve"> SEQ Eq. \* ARABIC </w:instrText>
      </w:r>
      <w:r w:rsidRPr="00FD0C04">
        <w:rPr>
          <w:rFonts w:asciiTheme="majorHAnsi" w:hAnsiTheme="majorHAnsi"/>
          <w:b/>
        </w:rPr>
        <w:fldChar w:fldCharType="separate"/>
      </w:r>
      <w:r w:rsidR="003E2BF7">
        <w:rPr>
          <w:rFonts w:asciiTheme="majorHAnsi" w:hAnsiTheme="majorHAnsi"/>
          <w:b/>
          <w:noProof/>
        </w:rPr>
        <w:t>8</w:t>
      </w:r>
      <w:r w:rsidRPr="00FD0C04">
        <w:rPr>
          <w:rFonts w:asciiTheme="majorHAnsi" w:hAnsiTheme="majorHAnsi"/>
          <w:b/>
        </w:rPr>
        <w:fldChar w:fldCharType="end"/>
      </w:r>
      <w:bookmarkEnd w:id="43"/>
      <w:r w:rsidRPr="00FD0C04">
        <w:rPr>
          <w:rFonts w:asciiTheme="majorHAnsi" w:hAnsiTheme="majorHAnsi"/>
          <w:b/>
        </w:rPr>
        <w:tab/>
      </w:r>
      <w:r w:rsidRPr="00FD0C04">
        <w:rPr>
          <w:rFonts w:asciiTheme="majorHAnsi" w:hAnsiTheme="majorHAnsi"/>
          <w:b/>
        </w:rPr>
        <w:tab/>
      </w:r>
      <m:oMath>
        <m:r>
          <w:rPr>
            <w:rFonts w:ascii="Cambria Math" w:hAnsi="Cambria Math"/>
          </w:rPr>
          <m:t>ACEI</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ACEI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ACE</m:t>
        </m:r>
        <m:r>
          <m:rPr>
            <m:sty m:val="p"/>
          </m:rPr>
          <w:rPr>
            <w:rFonts w:ascii="Cambria Math" w:hAnsi="Cambria Math"/>
          </w:rPr>
          <m:t>(</m:t>
        </m:r>
        <m:r>
          <w:rPr>
            <w:rFonts w:ascii="Cambria Math" w:hAnsi="Cambria Math"/>
          </w:rPr>
          <m:t>t</m:t>
        </m:r>
        <m:r>
          <m:rPr>
            <m:sty m:val="p"/>
          </m:rPr>
          <w:rPr>
            <w:rFonts w:ascii="Cambria Math" w:hAnsi="Cambria Math"/>
          </w:rPr>
          <m:t>)∙(4</m:t>
        </m:r>
        <m:r>
          <w:rPr>
            <w:rFonts w:ascii="Cambria Math" w:hAnsi="Cambria Math"/>
          </w:rPr>
          <m:t>s</m:t>
        </m:r>
        <m:r>
          <m:rPr>
            <m:sty m:val="p"/>
          </m:rPr>
          <w:rPr>
            <w:rFonts w:ascii="Cambria Math" w:hAnsi="Cambria Math"/>
          </w:rPr>
          <m:t>/3600</m:t>
        </m:r>
        <m:r>
          <w:rPr>
            <w:rFonts w:ascii="Cambria Math" w:hAnsi="Cambria Math"/>
          </w:rPr>
          <m:t>s</m:t>
        </m:r>
        <m:r>
          <m:rPr>
            <m:sty m:val="p"/>
          </m:rPr>
          <w:rPr>
            <w:rFonts w:ascii="Cambria Math" w:hAnsi="Cambria Math"/>
          </w:rPr>
          <m:t>)</m:t>
        </m:r>
      </m:oMath>
    </w:p>
    <w:p w14:paraId="04C9E767" w14:textId="77777777" w:rsidR="008C137C" w:rsidRDefault="008C137C" w:rsidP="008C137C">
      <w:pPr>
        <w:pStyle w:val="Heading3"/>
      </w:pPr>
      <w:r>
        <w:t>Regulation FCAS requirement</w:t>
      </w:r>
    </w:p>
    <w:p w14:paraId="50BF1AC8" w14:textId="77777777" w:rsidR="008C137C" w:rsidRPr="008C137C" w:rsidRDefault="008C137C" w:rsidP="008C137C">
      <w:pPr>
        <w:pStyle w:val="ResetPara"/>
      </w:pPr>
    </w:p>
    <w:p w14:paraId="4E73459E" w14:textId="77777777" w:rsidR="008C137C" w:rsidRPr="00FD0C04" w:rsidRDefault="008C137C" w:rsidP="008C137C">
      <w:pPr>
        <w:pStyle w:val="ParaFlw0"/>
      </w:pPr>
      <w:r w:rsidRPr="00FD0C04">
        <w:t xml:space="preserve">The AGC uses both the ACE and ACEI value to calculate required </w:t>
      </w:r>
      <w:r>
        <w:t>Regulation FCAS (RR)</w:t>
      </w:r>
      <w:r w:rsidRPr="00FD0C04">
        <w:t>:</w:t>
      </w:r>
    </w:p>
    <w:p w14:paraId="3742ABDF" w14:textId="77777777" w:rsidR="008C137C" w:rsidRPr="00FD0C04" w:rsidRDefault="008C137C" w:rsidP="008C137C">
      <w:pPr>
        <w:pStyle w:val="ParaFlw1"/>
        <w:rPr>
          <w:rFonts w:asciiTheme="majorHAnsi" w:hAnsiTheme="majorHAnsi"/>
        </w:rPr>
      </w:pPr>
      <w:bookmarkStart w:id="44" w:name="_Ref474504206"/>
      <w:r w:rsidRPr="00FD0C04">
        <w:rPr>
          <w:rFonts w:asciiTheme="majorHAnsi" w:hAnsiTheme="majorHAnsi"/>
          <w:b/>
        </w:rPr>
        <w:t xml:space="preserve">EQ. </w:t>
      </w:r>
      <w:r w:rsidRPr="00FD0C04">
        <w:rPr>
          <w:rFonts w:asciiTheme="majorHAnsi" w:hAnsiTheme="majorHAnsi"/>
          <w:b/>
        </w:rPr>
        <w:fldChar w:fldCharType="begin"/>
      </w:r>
      <w:r w:rsidRPr="00FD0C04">
        <w:rPr>
          <w:rFonts w:asciiTheme="majorHAnsi" w:hAnsiTheme="majorHAnsi"/>
          <w:b/>
        </w:rPr>
        <w:instrText xml:space="preserve"> SEQ Eq. \* ARABIC </w:instrText>
      </w:r>
      <w:r w:rsidRPr="00FD0C04">
        <w:rPr>
          <w:rFonts w:asciiTheme="majorHAnsi" w:hAnsiTheme="majorHAnsi"/>
          <w:b/>
        </w:rPr>
        <w:fldChar w:fldCharType="separate"/>
      </w:r>
      <w:r w:rsidR="003E2BF7">
        <w:rPr>
          <w:rFonts w:asciiTheme="majorHAnsi" w:hAnsiTheme="majorHAnsi"/>
          <w:b/>
          <w:noProof/>
        </w:rPr>
        <w:t>9</w:t>
      </w:r>
      <w:r w:rsidRPr="00FD0C04">
        <w:rPr>
          <w:rFonts w:asciiTheme="majorHAnsi" w:hAnsiTheme="majorHAnsi"/>
          <w:b/>
        </w:rPr>
        <w:fldChar w:fldCharType="end"/>
      </w:r>
      <w:bookmarkEnd w:id="44"/>
      <w:r w:rsidRPr="00FD0C04">
        <w:rPr>
          <w:rFonts w:asciiTheme="majorHAnsi" w:hAnsiTheme="majorHAnsi"/>
          <w:b/>
        </w:rPr>
        <w:tab/>
      </w:r>
      <w:r w:rsidRPr="00FD0C04">
        <w:rPr>
          <w:rFonts w:asciiTheme="majorHAnsi" w:hAnsiTheme="majorHAnsi"/>
          <w:b/>
        </w:rPr>
        <w:tab/>
      </w:r>
      <m:oMath>
        <m:r>
          <w:rPr>
            <w:rFonts w:ascii="Cambria Math" w:hAnsi="Cambria Math"/>
          </w:rPr>
          <m:t>RR</m:t>
        </m:r>
        <m:r>
          <m:rPr>
            <m:sty m:val="p"/>
          </m:rPr>
          <w:rPr>
            <w:rFonts w:ascii="Cambria Math" w:hAnsi="Cambria Math"/>
          </w:rPr>
          <m:t>=</m:t>
        </m:r>
        <m:d>
          <m:dPr>
            <m:ctrlPr>
              <w:rPr>
                <w:rFonts w:ascii="Cambria Math" w:hAnsi="Cambria Math"/>
              </w:rPr>
            </m:ctrlPr>
          </m:dPr>
          <m:e>
            <m:r>
              <w:rPr>
                <w:rFonts w:ascii="Cambria Math" w:hAnsi="Cambria Math"/>
              </w:rPr>
              <m:t>ACE</m:t>
            </m:r>
            <m:r>
              <m:rPr>
                <m:sty m:val="p"/>
              </m:rPr>
              <w:rPr>
                <w:rFonts w:ascii="Cambria Math" w:hAnsi="Cambria Math"/>
              </w:rPr>
              <m:t>∙</m:t>
            </m:r>
            <m:sSub>
              <m:sSubPr>
                <m:ctrlPr>
                  <w:rPr>
                    <w:rFonts w:ascii="Cambria Math" w:hAnsi="Cambria Math"/>
                  </w:rPr>
                </m:ctrlPr>
              </m:sSubPr>
              <m:e>
                <m:r>
                  <w:rPr>
                    <w:rFonts w:ascii="Cambria Math" w:hAnsi="Cambria Math"/>
                  </w:rPr>
                  <m:t>Gain</m:t>
                </m:r>
              </m:e>
              <m:sub>
                <m:r>
                  <w:rPr>
                    <w:rFonts w:ascii="Cambria Math" w:hAnsi="Cambria Math"/>
                  </w:rPr>
                  <m:t>ACE</m:t>
                </m:r>
              </m:sub>
            </m:sSub>
          </m:e>
        </m:d>
        <m:r>
          <m:rPr>
            <m:sty m:val="p"/>
          </m:rPr>
          <w:rPr>
            <w:rFonts w:ascii="Cambria Math" w:hAnsi="Cambria Math"/>
          </w:rPr>
          <m:t xml:space="preserve">+ </m:t>
        </m:r>
        <m:d>
          <m:dPr>
            <m:ctrlPr>
              <w:rPr>
                <w:rFonts w:ascii="Cambria Math" w:hAnsi="Cambria Math"/>
              </w:rPr>
            </m:ctrlPr>
          </m:dPr>
          <m:e>
            <m:r>
              <w:rPr>
                <w:rFonts w:ascii="Cambria Math" w:hAnsi="Cambria Math"/>
              </w:rPr>
              <m:t>ACEI</m:t>
            </m:r>
            <m:r>
              <m:rPr>
                <m:sty m:val="p"/>
              </m:rPr>
              <w:rPr>
                <w:rFonts w:ascii="Cambria Math" w:hAnsi="Cambria Math"/>
              </w:rPr>
              <m:t>∙</m:t>
            </m:r>
            <m:sSub>
              <m:sSubPr>
                <m:ctrlPr>
                  <w:rPr>
                    <w:rFonts w:ascii="Cambria Math" w:hAnsi="Cambria Math"/>
                  </w:rPr>
                </m:ctrlPr>
              </m:sSubPr>
              <m:e>
                <m:r>
                  <w:rPr>
                    <w:rFonts w:ascii="Cambria Math" w:hAnsi="Cambria Math"/>
                  </w:rPr>
                  <m:t>Gain</m:t>
                </m:r>
              </m:e>
              <m:sub>
                <m:r>
                  <w:rPr>
                    <w:rFonts w:ascii="Cambria Math" w:hAnsi="Cambria Math"/>
                  </w:rPr>
                  <m:t>ACEI</m:t>
                </m:r>
              </m:sub>
            </m:sSub>
          </m:e>
        </m:d>
      </m:oMath>
    </w:p>
    <w:p w14:paraId="13C84BF4" w14:textId="77777777" w:rsidR="008C137C" w:rsidRPr="00FD0C04" w:rsidRDefault="008C137C" w:rsidP="007E2C08">
      <w:pPr>
        <w:pStyle w:val="ParaFlw0"/>
      </w:pPr>
      <w:r w:rsidRPr="00FD0C04">
        <w:t>Where:</w:t>
      </w:r>
    </w:p>
    <w:p w14:paraId="06167D20" w14:textId="56196302" w:rsidR="008C137C" w:rsidRPr="00FD0C04" w:rsidRDefault="008C137C" w:rsidP="008C137C">
      <w:pPr>
        <w:pStyle w:val="Lista"/>
      </w:pPr>
      <w:r w:rsidRPr="00FD0C04">
        <w:rPr>
          <w:b/>
          <w:i/>
        </w:rPr>
        <w:t>Gain</w:t>
      </w:r>
      <w:r w:rsidRPr="00FD0C04">
        <w:rPr>
          <w:b/>
          <w:i/>
          <w:vertAlign w:val="subscript"/>
        </w:rPr>
        <w:t>ACE</w:t>
      </w:r>
      <w:r w:rsidRPr="00FD0C04">
        <w:rPr>
          <w:vertAlign w:val="subscript"/>
        </w:rPr>
        <w:t xml:space="preserve"> </w:t>
      </w:r>
      <w:r w:rsidRPr="00FD0C04">
        <w:t xml:space="preserve">and </w:t>
      </w:r>
      <w:r w:rsidRPr="00FD0C04">
        <w:rPr>
          <w:b/>
          <w:i/>
        </w:rPr>
        <w:t>Gain</w:t>
      </w:r>
      <w:r w:rsidRPr="00FD0C04">
        <w:rPr>
          <w:b/>
          <w:i/>
          <w:vertAlign w:val="subscript"/>
        </w:rPr>
        <w:t>ACEI</w:t>
      </w:r>
      <w:r w:rsidRPr="00FD0C04">
        <w:t xml:space="preserve"> are values </w:t>
      </w:r>
      <w:r>
        <w:t xml:space="preserve">taken from  a look-up tables </w:t>
      </w:r>
      <w:r w:rsidRPr="00FD0C04">
        <w:t xml:space="preserve">tuned by AEMO from time to time based on system performance and response to deployed </w:t>
      </w:r>
      <w:r>
        <w:t>Regulation FCAS</w:t>
      </w:r>
      <w:r w:rsidRPr="00FD0C04">
        <w:t>.</w:t>
      </w:r>
      <w:r w:rsidR="00B13D62">
        <w:t xml:space="preserve"> The AGC </w:t>
      </w:r>
      <w:r>
        <w:t>also applies both static and dynamic deadbands which makes gains to zero under specific conditions to ensure stability of the system.</w:t>
      </w:r>
    </w:p>
    <w:p w14:paraId="27CAF1EB" w14:textId="743D2D5A" w:rsidR="008C137C" w:rsidRPr="00FD0C04" w:rsidRDefault="008C137C" w:rsidP="008C137C">
      <w:pPr>
        <w:pStyle w:val="Lista"/>
      </w:pPr>
      <w:r w:rsidRPr="00FD0C04">
        <w:rPr>
          <w:b/>
          <w:i/>
        </w:rPr>
        <w:t>ACE</w:t>
      </w:r>
      <w:r w:rsidRPr="00FD0C04">
        <w:t xml:space="preserve"> is the area control error, as defined in </w:t>
      </w:r>
      <w:r w:rsidRPr="00FD0C04">
        <w:fldChar w:fldCharType="begin"/>
      </w:r>
      <w:r w:rsidRPr="00FD0C04">
        <w:instrText xml:space="preserve"> REF _Ref474501287 \h  \* MERGEFORMAT </w:instrText>
      </w:r>
      <w:r w:rsidRPr="00FD0C04">
        <w:fldChar w:fldCharType="separate"/>
      </w:r>
      <w:r w:rsidR="003E2BF7" w:rsidRPr="00CD5358">
        <w:t xml:space="preserve">EQ. </w:t>
      </w:r>
      <w:r w:rsidR="003E2BF7" w:rsidRPr="00CD5358">
        <w:rPr>
          <w:noProof/>
        </w:rPr>
        <w:t>7</w:t>
      </w:r>
      <w:r w:rsidRPr="00FD0C04">
        <w:fldChar w:fldCharType="end"/>
      </w:r>
      <w:r w:rsidRPr="00FD0C04">
        <w:t>.</w:t>
      </w:r>
    </w:p>
    <w:p w14:paraId="2FAF8E2D" w14:textId="644F40AD" w:rsidR="008C137C" w:rsidRPr="00FD0C04" w:rsidRDefault="008C137C" w:rsidP="008C137C">
      <w:pPr>
        <w:pStyle w:val="Lista"/>
      </w:pPr>
      <w:r w:rsidRPr="00FD0C04">
        <w:rPr>
          <w:b/>
          <w:i/>
        </w:rPr>
        <w:t xml:space="preserve">ACEI </w:t>
      </w:r>
      <w:r w:rsidRPr="00FD0C04">
        <w:t xml:space="preserve">is the integral of ACE, as defined in </w:t>
      </w:r>
      <w:r w:rsidRPr="00FD0C04">
        <w:fldChar w:fldCharType="begin"/>
      </w:r>
      <w:r w:rsidRPr="00FD0C04">
        <w:instrText xml:space="preserve"> REF _Ref474501296 \h  \* MERGEFORMAT </w:instrText>
      </w:r>
      <w:r w:rsidRPr="00FD0C04">
        <w:fldChar w:fldCharType="separate"/>
      </w:r>
      <w:r w:rsidR="003E2BF7" w:rsidRPr="00CD5358">
        <w:t xml:space="preserve">EQ. </w:t>
      </w:r>
      <w:r w:rsidR="003E2BF7" w:rsidRPr="00CD5358">
        <w:rPr>
          <w:noProof/>
        </w:rPr>
        <w:t>8</w:t>
      </w:r>
      <w:r w:rsidRPr="00FD0C04">
        <w:fldChar w:fldCharType="end"/>
      </w:r>
      <w:r w:rsidRPr="00FD0C04">
        <w:t xml:space="preserve">. </w:t>
      </w:r>
    </w:p>
    <w:p w14:paraId="7CEE2AF6" w14:textId="77777777" w:rsidR="008C137C" w:rsidRDefault="008C137C" w:rsidP="008C137C">
      <w:pPr>
        <w:pStyle w:val="Heading3"/>
      </w:pPr>
      <w:bookmarkStart w:id="45" w:name="_Ref506845194"/>
      <w:r>
        <w:t>FI value</w:t>
      </w:r>
      <w:bookmarkEnd w:id="45"/>
    </w:p>
    <w:p w14:paraId="57F31EAB" w14:textId="77777777" w:rsidR="008C137C" w:rsidRPr="008C137C" w:rsidRDefault="008C137C" w:rsidP="008C137C">
      <w:pPr>
        <w:pStyle w:val="ResetPara"/>
      </w:pPr>
    </w:p>
    <w:p w14:paraId="6FA79512" w14:textId="3FCC6C15" w:rsidR="00D80A7C" w:rsidRDefault="008C137C" w:rsidP="00D80A7C">
      <w:pPr>
        <w:pStyle w:val="Lista"/>
      </w:pPr>
      <w:r w:rsidRPr="00FD0C04">
        <w:t xml:space="preserve">The RR value from </w:t>
      </w:r>
      <w:r w:rsidRPr="00FD0C04">
        <w:fldChar w:fldCharType="begin"/>
      </w:r>
      <w:r w:rsidRPr="00FD0C04">
        <w:instrText xml:space="preserve"> REF _Ref474504206 \h  \* MERGEFORMAT </w:instrText>
      </w:r>
      <w:r w:rsidRPr="00FD0C04">
        <w:fldChar w:fldCharType="separate"/>
      </w:r>
      <w:r w:rsidR="003E2BF7" w:rsidRPr="00CD5358">
        <w:t xml:space="preserve">EQ. </w:t>
      </w:r>
      <w:r w:rsidR="003E2BF7" w:rsidRPr="00CD5358">
        <w:rPr>
          <w:noProof/>
        </w:rPr>
        <w:t>9</w:t>
      </w:r>
      <w:r w:rsidRPr="00FD0C04">
        <w:fldChar w:fldCharType="end"/>
      </w:r>
      <w:r w:rsidRPr="00FD0C04">
        <w:t xml:space="preserve"> is subsequently split amongst all </w:t>
      </w:r>
      <w:r w:rsidRPr="007E2C08">
        <w:rPr>
          <w:i/>
        </w:rPr>
        <w:t>enabled</w:t>
      </w:r>
      <w:r w:rsidRPr="00FD0C04">
        <w:t xml:space="preserve"> </w:t>
      </w:r>
      <w:r w:rsidR="007E2C08">
        <w:t xml:space="preserve">providers of Regulation </w:t>
      </w:r>
      <w:r w:rsidRPr="00FD0C04">
        <w:t>FCAS</w:t>
      </w:r>
      <w:r w:rsidR="00520D19">
        <w:t xml:space="preserve"> for that particular requir</w:t>
      </w:r>
      <w:r w:rsidR="00CA60DB">
        <w:t>e</w:t>
      </w:r>
      <w:r w:rsidR="00520D19">
        <w:t>ment</w:t>
      </w:r>
      <w:r w:rsidRPr="00FD0C04">
        <w:t xml:space="preserve">, and processed by a low pass filter to avoid large swings in AGC output for individual </w:t>
      </w:r>
      <w:r w:rsidRPr="00FD0C04">
        <w:rPr>
          <w:i/>
        </w:rPr>
        <w:t>Market Participants</w:t>
      </w:r>
      <w:r w:rsidRPr="00FD0C04">
        <w:t xml:space="preserve">. </w:t>
      </w:r>
    </w:p>
    <w:p w14:paraId="24EC7757" w14:textId="73509915" w:rsidR="008C137C" w:rsidRPr="00FD0C04" w:rsidRDefault="008C137C" w:rsidP="00D80A7C">
      <w:pPr>
        <w:pStyle w:val="Lista"/>
      </w:pPr>
      <w:r w:rsidRPr="00FD0C04">
        <w:t xml:space="preserve">These filtered values are recombined </w:t>
      </w:r>
      <w:r w:rsidR="00D80A7C">
        <w:t xml:space="preserve">to yield the final value of FI. </w:t>
      </w:r>
      <w:r w:rsidRPr="00FD0C04">
        <w:t xml:space="preserve">representing the actual quantity of </w:t>
      </w:r>
      <w:r>
        <w:t>Regulation FCAS</w:t>
      </w:r>
      <w:r w:rsidRPr="00FD0C04">
        <w:t xml:space="preserve"> that </w:t>
      </w:r>
      <w:r>
        <w:t xml:space="preserve">AGC </w:t>
      </w:r>
      <w:r w:rsidR="00D80A7C">
        <w:t xml:space="preserve">has identified </w:t>
      </w:r>
      <w:r w:rsidRPr="00FD0C04">
        <w:t xml:space="preserve">in the </w:t>
      </w:r>
      <w:r w:rsidR="007E2C08">
        <w:t xml:space="preserve">4 </w:t>
      </w:r>
      <w:r w:rsidRPr="00FD0C04">
        <w:t>second period.</w:t>
      </w:r>
      <w:r>
        <w:t xml:space="preserve"> </w:t>
      </w:r>
      <w:r w:rsidR="00D80A7C">
        <w:t>Note that t</w:t>
      </w:r>
      <w:r>
        <w:t>h</w:t>
      </w:r>
      <w:r w:rsidR="00D80A7C">
        <w:t xml:space="preserve">e quantity actually </w:t>
      </w:r>
      <w:r w:rsidR="00D80A7C">
        <w:rPr>
          <w:i/>
        </w:rPr>
        <w:t xml:space="preserve">enabled </w:t>
      </w:r>
      <w:r w:rsidR="00D80A7C">
        <w:t xml:space="preserve">will be a different </w:t>
      </w:r>
      <w:r>
        <w:t>value</w:t>
      </w:r>
      <w:r w:rsidR="00D80A7C">
        <w:t>,</w:t>
      </w:r>
      <w:r>
        <w:t xml:space="preserve"> due to </w:t>
      </w:r>
      <w:r w:rsidR="00CA60DB">
        <w:t xml:space="preserve">the </w:t>
      </w:r>
      <w:r>
        <w:t>application of unit control models in later steps of the AGC calculation algorithm.</w:t>
      </w:r>
    </w:p>
    <w:p w14:paraId="1EAB09B1" w14:textId="4AF4CB66" w:rsidR="008C137C" w:rsidRPr="00D80A7C" w:rsidRDefault="008C137C" w:rsidP="00D80A7C">
      <w:pPr>
        <w:pStyle w:val="Lista"/>
      </w:pPr>
      <w:r w:rsidRPr="00D80A7C">
        <w:t>Separate values of FI are calculated for</w:t>
      </w:r>
      <w:r w:rsidR="00CA60DB" w:rsidRPr="00D80A7C">
        <w:t xml:space="preserve"> each area,</w:t>
      </w:r>
      <w:r w:rsidRPr="00D80A7C">
        <w:t xml:space="preserve"> and applied to the performance factors of units and loads within that </w:t>
      </w:r>
      <w:r w:rsidR="00CA60DB" w:rsidRPr="00D80A7C">
        <w:t>area</w:t>
      </w:r>
      <w:r w:rsidRPr="00D80A7C">
        <w:t xml:space="preserve">. </w:t>
      </w:r>
    </w:p>
    <w:p w14:paraId="118F8B37" w14:textId="33F9B932" w:rsidR="008C137C" w:rsidRDefault="007E2C08" w:rsidP="007E2C08">
      <w:pPr>
        <w:pStyle w:val="Heading3"/>
      </w:pPr>
      <w:r>
        <w:lastRenderedPageBreak/>
        <w:t>4-second performance measures</w:t>
      </w:r>
    </w:p>
    <w:p w14:paraId="5CFD73CA" w14:textId="2978D35F" w:rsidR="00E25DC9" w:rsidRDefault="00E25DC9" w:rsidP="007E2C08">
      <w:pPr>
        <w:pStyle w:val="ParaFlw0"/>
      </w:pPr>
      <w:r>
        <w:t xml:space="preserve">Each 4-second deviation value multiplied by the resulting FI value for the corresponding interval yields a a 4-second performance measure as </w:t>
      </w:r>
      <w:r w:rsidRPr="00E25DC9">
        <w:t xml:space="preserve">described in </w:t>
      </w:r>
      <w:r>
        <w:t>Table 6</w:t>
      </w:r>
      <w:r w:rsidRPr="00E25DC9">
        <w:t>.</w:t>
      </w:r>
      <w:r w:rsidR="00077B62">
        <w:t xml:space="preserve"> </w:t>
      </w:r>
    </w:p>
    <w:p w14:paraId="4BB280A1" w14:textId="30AE1403" w:rsidR="00E25DC9" w:rsidRDefault="00E25DC9" w:rsidP="00E25DC9">
      <w:pPr>
        <w:pStyle w:val="TableTitle"/>
      </w:pPr>
      <w:r>
        <w:t>Table 6</w:t>
      </w:r>
      <w:r>
        <w:tab/>
        <w:t>Calculation of 4-second performance measures</w:t>
      </w:r>
    </w:p>
    <w:tbl>
      <w:tblPr>
        <w:tblStyle w:val="AEMOTable"/>
        <w:tblW w:w="8931" w:type="dxa"/>
        <w:tblLook w:val="0420" w:firstRow="1" w:lastRow="0" w:firstColumn="0" w:lastColumn="0" w:noHBand="0" w:noVBand="1"/>
      </w:tblPr>
      <w:tblGrid>
        <w:gridCol w:w="4678"/>
        <w:gridCol w:w="4253"/>
      </w:tblGrid>
      <w:tr w:rsidR="00E25DC9" w:rsidRPr="00E25DC9" w14:paraId="535D9C34" w14:textId="77777777" w:rsidTr="005C1B6C">
        <w:trPr>
          <w:cnfStyle w:val="100000000000" w:firstRow="1" w:lastRow="0" w:firstColumn="0" w:lastColumn="0" w:oddVBand="0" w:evenVBand="0" w:oddHBand="0" w:evenHBand="0" w:firstRowFirstColumn="0" w:firstRowLastColumn="0" w:lastRowFirstColumn="0" w:lastRowLastColumn="0"/>
          <w:trHeight w:val="340"/>
        </w:trPr>
        <w:tc>
          <w:tcPr>
            <w:tcW w:w="4678" w:type="dxa"/>
            <w:vAlign w:val="center"/>
          </w:tcPr>
          <w:p w14:paraId="16E35D7C" w14:textId="77777777" w:rsidR="00E25DC9" w:rsidRPr="00E25DC9" w:rsidRDefault="00E25DC9" w:rsidP="00E25DC9">
            <w:pPr>
              <w:pStyle w:val="TableTitle"/>
              <w:rPr>
                <w:b w:val="0"/>
                <w:lang w:val="en-AU"/>
              </w:rPr>
            </w:pPr>
            <w:r w:rsidRPr="00E25DC9">
              <w:rPr>
                <w:lang w:val="en-AU"/>
              </w:rPr>
              <w:t>Deviation Category</w:t>
            </w:r>
          </w:p>
        </w:tc>
        <w:tc>
          <w:tcPr>
            <w:tcW w:w="4253" w:type="dxa"/>
            <w:vAlign w:val="center"/>
          </w:tcPr>
          <w:p w14:paraId="2B861EF0" w14:textId="77777777" w:rsidR="00E25DC9" w:rsidRPr="00E25DC9" w:rsidRDefault="00E25DC9" w:rsidP="00E25DC9">
            <w:pPr>
              <w:pStyle w:val="TableTitle"/>
              <w:rPr>
                <w:b w:val="0"/>
                <w:lang w:val="en-AU"/>
              </w:rPr>
            </w:pPr>
            <w:r w:rsidRPr="00E25DC9">
              <w:rPr>
                <w:lang w:val="en-AU"/>
              </w:rPr>
              <w:t>Equation</w:t>
            </w:r>
          </w:p>
        </w:tc>
      </w:tr>
      <w:tr w:rsidR="00E25DC9" w:rsidRPr="00E25DC9" w14:paraId="400C1E26" w14:textId="77777777" w:rsidTr="005C1B6C">
        <w:trPr>
          <w:cnfStyle w:val="000000100000" w:firstRow="0" w:lastRow="0" w:firstColumn="0" w:lastColumn="0" w:oddVBand="0" w:evenVBand="0" w:oddHBand="1" w:evenHBand="0" w:firstRowFirstColumn="0" w:firstRowLastColumn="0" w:lastRowFirstColumn="0" w:lastRowLastColumn="0"/>
          <w:trHeight w:val="567"/>
        </w:trPr>
        <w:tc>
          <w:tcPr>
            <w:tcW w:w="4678" w:type="dxa"/>
          </w:tcPr>
          <w:p w14:paraId="493E4783" w14:textId="0580EBE6" w:rsidR="00E25DC9" w:rsidRPr="00E25DC9" w:rsidRDefault="00E25DC9" w:rsidP="00E25DC9">
            <w:pPr>
              <w:pStyle w:val="TableTitle"/>
              <w:rPr>
                <w:lang w:val="en-AU"/>
              </w:rPr>
            </w:pPr>
            <w:r w:rsidRPr="00E25DC9">
              <w:rPr>
                <w:lang w:val="en-AU"/>
              </w:rPr>
              <w:t xml:space="preserve">For each </w:t>
            </w:r>
            <w:r w:rsidRPr="00077B62">
              <w:rPr>
                <w:i/>
                <w:lang w:val="en-AU"/>
              </w:rPr>
              <w:t xml:space="preserve">scheduled </w:t>
            </w:r>
            <w:r w:rsidR="00077B62" w:rsidRPr="00077B62">
              <w:rPr>
                <w:i/>
                <w:lang w:val="en-AU"/>
              </w:rPr>
              <w:t>generating unit</w:t>
            </w:r>
            <w:r w:rsidR="00077B62">
              <w:rPr>
                <w:lang w:val="en-AU"/>
              </w:rPr>
              <w:t xml:space="preserve"> </w:t>
            </w:r>
            <w:r w:rsidRPr="00E25DC9">
              <w:rPr>
                <w:lang w:val="en-AU"/>
              </w:rPr>
              <w:t xml:space="preserve">and </w:t>
            </w:r>
            <w:r w:rsidRPr="00077B62">
              <w:rPr>
                <w:i/>
                <w:lang w:val="en-AU"/>
              </w:rPr>
              <w:t>semi-scheduled generating unit</w:t>
            </w:r>
            <w:r w:rsidRPr="00E25DC9">
              <w:rPr>
                <w:lang w:val="en-AU"/>
              </w:rPr>
              <w:t>.</w:t>
            </w:r>
          </w:p>
        </w:tc>
        <w:tc>
          <w:tcPr>
            <w:tcW w:w="4253" w:type="dxa"/>
          </w:tcPr>
          <w:p w14:paraId="754A5782" w14:textId="791F7F4D" w:rsidR="00E25DC9" w:rsidRPr="00E25DC9" w:rsidRDefault="00E25DC9" w:rsidP="00E25DC9">
            <w:pPr>
              <w:pStyle w:val="TableTitle"/>
              <w:rPr>
                <w:lang w:val="en-AU"/>
              </w:rPr>
            </w:pPr>
            <w:r w:rsidRPr="00E25DC9">
              <w:rPr>
                <w:b/>
                <w:lang w:val="en-AU"/>
              </w:rPr>
              <w:t xml:space="preserve">EQ. </w:t>
            </w:r>
            <w:r w:rsidRPr="00E25DC9">
              <w:rPr>
                <w:b/>
                <w:lang w:val="en-AU"/>
              </w:rPr>
              <w:fldChar w:fldCharType="begin"/>
            </w:r>
            <w:r w:rsidRPr="00E25DC9">
              <w:rPr>
                <w:b/>
                <w:lang w:val="en-AU"/>
              </w:rPr>
              <w:instrText xml:space="preserve"> SEQ Eq. \* ARABIC </w:instrText>
            </w:r>
            <w:r w:rsidRPr="00E25DC9">
              <w:rPr>
                <w:b/>
                <w:lang w:val="en-AU"/>
              </w:rPr>
              <w:fldChar w:fldCharType="separate"/>
            </w:r>
            <w:r w:rsidR="003E2BF7">
              <w:rPr>
                <w:b/>
                <w:noProof/>
                <w:lang w:val="en-AU"/>
              </w:rPr>
              <w:t>10</w:t>
            </w:r>
            <w:r w:rsidRPr="00E25DC9">
              <w:fldChar w:fldCharType="end"/>
            </w:r>
            <w:r w:rsidRPr="00E25DC9">
              <w:rPr>
                <w:b/>
                <w:lang w:val="en-AU"/>
              </w:rPr>
              <w:tab/>
            </w:r>
            <w:r w:rsidRPr="00E25DC9">
              <w:rPr>
                <w:b/>
                <w:lang w:val="en-AU"/>
              </w:rPr>
              <w:tab/>
            </w:r>
            <m:oMath>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SM</m:t>
                  </m:r>
                </m:sub>
              </m:sSub>
              <m:r>
                <w:rPr>
                  <w:rFonts w:ascii="Cambria Math" w:hAnsi="Cambria Math"/>
                  <w:lang w:val="en-AU"/>
                </w:rPr>
                <m:t>(t)=</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SM</m:t>
                  </m:r>
                </m:sub>
              </m:sSub>
              <m:d>
                <m:dPr>
                  <m:ctrlPr>
                    <w:rPr>
                      <w:rFonts w:ascii="Cambria Math" w:hAnsi="Cambria Math"/>
                      <w:i/>
                      <w:lang w:val="en-AU"/>
                    </w:rPr>
                  </m:ctrlPr>
                </m:dPr>
                <m:e>
                  <m:r>
                    <w:rPr>
                      <w:rFonts w:ascii="Cambria Math" w:hAnsi="Cambria Math"/>
                      <w:lang w:val="en-AU"/>
                    </w:rPr>
                    <m:t>t</m:t>
                  </m:r>
                </m:e>
              </m:d>
              <m:r>
                <w:rPr>
                  <w:rFonts w:ascii="Cambria Math" w:hAnsi="Cambria Math"/>
                  <w:lang w:val="en-AU"/>
                </w:rPr>
                <m:t>∙FI</m:t>
              </m:r>
              <m:d>
                <m:dPr>
                  <m:ctrlPr>
                    <w:rPr>
                      <w:rFonts w:ascii="Cambria Math" w:hAnsi="Cambria Math"/>
                      <w:i/>
                      <w:lang w:val="en-AU"/>
                    </w:rPr>
                  </m:ctrlPr>
                </m:dPr>
                <m:e>
                  <m:r>
                    <w:rPr>
                      <w:rFonts w:ascii="Cambria Math" w:hAnsi="Cambria Math"/>
                      <w:lang w:val="en-AU"/>
                    </w:rPr>
                    <m:t>t</m:t>
                  </m:r>
                </m:e>
              </m:d>
            </m:oMath>
          </w:p>
        </w:tc>
      </w:tr>
      <w:tr w:rsidR="00E25DC9" w:rsidRPr="00E25DC9" w14:paraId="5CDAB46A" w14:textId="77777777" w:rsidTr="005C1B6C">
        <w:trPr>
          <w:cnfStyle w:val="000000010000" w:firstRow="0" w:lastRow="0" w:firstColumn="0" w:lastColumn="0" w:oddVBand="0" w:evenVBand="0" w:oddHBand="0" w:evenHBand="1" w:firstRowFirstColumn="0" w:firstRowLastColumn="0" w:lastRowFirstColumn="0" w:lastRowLastColumn="0"/>
          <w:trHeight w:val="567"/>
        </w:trPr>
        <w:tc>
          <w:tcPr>
            <w:tcW w:w="4678" w:type="dxa"/>
          </w:tcPr>
          <w:p w14:paraId="2BED5E77" w14:textId="77777777" w:rsidR="00E25DC9" w:rsidRPr="00E25DC9" w:rsidRDefault="00E25DC9" w:rsidP="00E25DC9">
            <w:pPr>
              <w:pStyle w:val="TableTitle"/>
              <w:rPr>
                <w:lang w:val="en-AU"/>
              </w:rPr>
            </w:pPr>
            <w:r w:rsidRPr="00E25DC9">
              <w:rPr>
                <w:lang w:val="en-AU"/>
              </w:rPr>
              <w:t xml:space="preserve">For each </w:t>
            </w:r>
            <w:r w:rsidRPr="00E25DC9">
              <w:rPr>
                <w:i/>
                <w:lang w:val="en-AU"/>
              </w:rPr>
              <w:t>scheduled load</w:t>
            </w:r>
          </w:p>
        </w:tc>
        <w:tc>
          <w:tcPr>
            <w:tcW w:w="4253" w:type="dxa"/>
          </w:tcPr>
          <w:p w14:paraId="4C4DB9B8" w14:textId="76B52075" w:rsidR="00E25DC9" w:rsidRPr="00E25DC9" w:rsidRDefault="00E25DC9" w:rsidP="00E25DC9">
            <w:pPr>
              <w:pStyle w:val="TableTitle"/>
              <w:rPr>
                <w:b/>
                <w:lang w:val="en-AU"/>
              </w:rPr>
            </w:pPr>
            <w:r w:rsidRPr="00E25DC9">
              <w:rPr>
                <w:b/>
                <w:lang w:val="en-AU"/>
              </w:rPr>
              <w:t xml:space="preserve">EQ. </w:t>
            </w:r>
            <w:r w:rsidRPr="00E25DC9">
              <w:rPr>
                <w:b/>
                <w:lang w:val="en-AU"/>
              </w:rPr>
              <w:fldChar w:fldCharType="begin"/>
            </w:r>
            <w:r w:rsidRPr="00E25DC9">
              <w:rPr>
                <w:b/>
                <w:lang w:val="en-AU"/>
              </w:rPr>
              <w:instrText xml:space="preserve"> SEQ Eq. \* ARABIC </w:instrText>
            </w:r>
            <w:r w:rsidRPr="00E25DC9">
              <w:rPr>
                <w:b/>
                <w:lang w:val="en-AU"/>
              </w:rPr>
              <w:fldChar w:fldCharType="separate"/>
            </w:r>
            <w:r w:rsidR="003E2BF7">
              <w:rPr>
                <w:b/>
                <w:noProof/>
                <w:lang w:val="en-AU"/>
              </w:rPr>
              <w:t>11</w:t>
            </w:r>
            <w:r w:rsidRPr="00E25DC9">
              <w:fldChar w:fldCharType="end"/>
            </w:r>
            <w:r w:rsidRPr="00E25DC9">
              <w:rPr>
                <w:b/>
                <w:lang w:val="en-AU"/>
              </w:rPr>
              <w:t>(a)</w:t>
            </w:r>
            <w:r w:rsidRPr="00E25DC9">
              <w:rPr>
                <w:b/>
                <w:lang w:val="en-AU"/>
              </w:rPr>
              <w:tab/>
            </w:r>
            <m:oMath>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SM</m:t>
                  </m:r>
                </m:sub>
              </m:sSub>
              <m:r>
                <w:rPr>
                  <w:rFonts w:ascii="Cambria Math" w:hAnsi="Cambria Math"/>
                  <w:lang w:val="en-AU"/>
                </w:rPr>
                <m:t>(t)=</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SM</m:t>
                  </m:r>
                </m:sub>
              </m:sSub>
              <m:d>
                <m:dPr>
                  <m:ctrlPr>
                    <w:rPr>
                      <w:rFonts w:ascii="Cambria Math" w:hAnsi="Cambria Math"/>
                      <w:i/>
                      <w:lang w:val="en-AU"/>
                    </w:rPr>
                  </m:ctrlPr>
                </m:dPr>
                <m:e>
                  <m:r>
                    <w:rPr>
                      <w:rFonts w:ascii="Cambria Math" w:hAnsi="Cambria Math"/>
                      <w:lang w:val="en-AU"/>
                    </w:rPr>
                    <m:t>t</m:t>
                  </m:r>
                </m:e>
              </m:d>
              <m:r>
                <w:rPr>
                  <w:rFonts w:ascii="Cambria Math" w:hAnsi="Cambria Math"/>
                  <w:lang w:val="en-AU"/>
                </w:rPr>
                <m:t>∙FI</m:t>
              </m:r>
              <m:d>
                <m:dPr>
                  <m:ctrlPr>
                    <w:rPr>
                      <w:rFonts w:ascii="Cambria Math" w:hAnsi="Cambria Math"/>
                      <w:i/>
                      <w:lang w:val="en-AU"/>
                    </w:rPr>
                  </m:ctrlPr>
                </m:dPr>
                <m:e>
                  <m:r>
                    <w:rPr>
                      <w:rFonts w:ascii="Cambria Math" w:hAnsi="Cambria Math"/>
                      <w:lang w:val="en-AU"/>
                    </w:rPr>
                    <m:t>t</m:t>
                  </m:r>
                </m:e>
              </m:d>
            </m:oMath>
          </w:p>
        </w:tc>
      </w:tr>
      <w:tr w:rsidR="00E25DC9" w:rsidRPr="00E25DC9" w14:paraId="24866EB6" w14:textId="77777777" w:rsidTr="005C1B6C">
        <w:trPr>
          <w:cnfStyle w:val="000000100000" w:firstRow="0" w:lastRow="0" w:firstColumn="0" w:lastColumn="0" w:oddVBand="0" w:evenVBand="0" w:oddHBand="1" w:evenHBand="0" w:firstRowFirstColumn="0" w:firstRowLastColumn="0" w:lastRowFirstColumn="0" w:lastRowLastColumn="0"/>
          <w:trHeight w:val="567"/>
        </w:trPr>
        <w:tc>
          <w:tcPr>
            <w:tcW w:w="4678" w:type="dxa"/>
          </w:tcPr>
          <w:p w14:paraId="4D4827EA" w14:textId="77777777" w:rsidR="00E25DC9" w:rsidRPr="00E25DC9" w:rsidRDefault="00E25DC9" w:rsidP="00E25DC9">
            <w:pPr>
              <w:pStyle w:val="TableTitle"/>
              <w:rPr>
                <w:lang w:val="en-AU"/>
              </w:rPr>
            </w:pPr>
            <w:r w:rsidRPr="00E25DC9">
              <w:rPr>
                <w:lang w:val="en-AU"/>
              </w:rPr>
              <w:t xml:space="preserve">For each </w:t>
            </w:r>
            <w:r w:rsidRPr="00E25DC9">
              <w:rPr>
                <w:i/>
                <w:lang w:val="en-AU"/>
              </w:rPr>
              <w:t>non-scheduled generating unit</w:t>
            </w:r>
            <w:r w:rsidRPr="00E25DC9">
              <w:rPr>
                <w:lang w:val="en-AU"/>
              </w:rPr>
              <w:t xml:space="preserve"> with appropriate metering.</w:t>
            </w:r>
          </w:p>
        </w:tc>
        <w:tc>
          <w:tcPr>
            <w:tcW w:w="4253" w:type="dxa"/>
          </w:tcPr>
          <w:p w14:paraId="64301AF1" w14:textId="0CFAA2EF" w:rsidR="00E25DC9" w:rsidRPr="00E25DC9" w:rsidRDefault="00E25DC9" w:rsidP="00E25DC9">
            <w:pPr>
              <w:pStyle w:val="TableTitle"/>
              <w:rPr>
                <w:lang w:val="en-AU"/>
              </w:rPr>
            </w:pPr>
            <w:r w:rsidRPr="00E25DC9">
              <w:rPr>
                <w:b/>
                <w:lang w:val="en-AU"/>
              </w:rPr>
              <w:t xml:space="preserve">EQ. </w:t>
            </w:r>
            <w:r w:rsidRPr="00E25DC9">
              <w:rPr>
                <w:b/>
                <w:lang w:val="en-AU"/>
              </w:rPr>
              <w:fldChar w:fldCharType="begin"/>
            </w:r>
            <w:r w:rsidRPr="00E25DC9">
              <w:rPr>
                <w:b/>
                <w:lang w:val="en-AU"/>
              </w:rPr>
              <w:instrText xml:space="preserve"> SEQ Eq. \* ARABIC </w:instrText>
            </w:r>
            <w:r w:rsidRPr="00E25DC9">
              <w:rPr>
                <w:b/>
                <w:lang w:val="en-AU"/>
              </w:rPr>
              <w:fldChar w:fldCharType="separate"/>
            </w:r>
            <w:r w:rsidR="003E2BF7">
              <w:rPr>
                <w:b/>
                <w:noProof/>
                <w:lang w:val="en-AU"/>
              </w:rPr>
              <w:t>12</w:t>
            </w:r>
            <w:r w:rsidRPr="00E25DC9">
              <w:fldChar w:fldCharType="end"/>
            </w:r>
            <w:r w:rsidRPr="00E25DC9">
              <w:rPr>
                <w:b/>
                <w:lang w:val="en-AU"/>
              </w:rPr>
              <w:tab/>
            </w:r>
            <w:r w:rsidRPr="00E25DC9">
              <w:rPr>
                <w:b/>
                <w:lang w:val="en-AU"/>
              </w:rPr>
              <w:tab/>
            </w:r>
            <m:oMath>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NSM</m:t>
                  </m:r>
                </m:sub>
              </m:sSub>
              <m:r>
                <w:rPr>
                  <w:rFonts w:ascii="Cambria Math" w:hAnsi="Cambria Math"/>
                  <w:lang w:val="en-AU"/>
                </w:rPr>
                <m:t>(t)=</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NSM</m:t>
                  </m:r>
                </m:sub>
              </m:sSub>
              <m:d>
                <m:dPr>
                  <m:ctrlPr>
                    <w:rPr>
                      <w:rFonts w:ascii="Cambria Math" w:hAnsi="Cambria Math"/>
                      <w:i/>
                      <w:lang w:val="en-AU"/>
                    </w:rPr>
                  </m:ctrlPr>
                </m:dPr>
                <m:e>
                  <m:r>
                    <w:rPr>
                      <w:rFonts w:ascii="Cambria Math" w:hAnsi="Cambria Math"/>
                      <w:lang w:val="en-AU"/>
                    </w:rPr>
                    <m:t>t</m:t>
                  </m:r>
                </m:e>
              </m:d>
              <m:r>
                <w:rPr>
                  <w:rFonts w:ascii="Cambria Math" w:hAnsi="Cambria Math"/>
                  <w:lang w:val="en-AU"/>
                </w:rPr>
                <m:t>∙FI</m:t>
              </m:r>
              <m:d>
                <m:dPr>
                  <m:ctrlPr>
                    <w:rPr>
                      <w:rFonts w:ascii="Cambria Math" w:hAnsi="Cambria Math"/>
                      <w:i/>
                      <w:lang w:val="en-AU"/>
                    </w:rPr>
                  </m:ctrlPr>
                </m:dPr>
                <m:e>
                  <m:r>
                    <w:rPr>
                      <w:rFonts w:ascii="Cambria Math" w:hAnsi="Cambria Math"/>
                      <w:lang w:val="en-AU"/>
                    </w:rPr>
                    <m:t>t</m:t>
                  </m:r>
                </m:e>
              </m:d>
            </m:oMath>
          </w:p>
        </w:tc>
      </w:tr>
      <w:tr w:rsidR="00E25DC9" w:rsidRPr="00E25DC9" w14:paraId="06B9A8F4" w14:textId="77777777" w:rsidTr="005C1B6C">
        <w:trPr>
          <w:cnfStyle w:val="000000010000" w:firstRow="0" w:lastRow="0" w:firstColumn="0" w:lastColumn="0" w:oddVBand="0" w:evenVBand="0" w:oddHBand="0" w:evenHBand="1" w:firstRowFirstColumn="0" w:firstRowLastColumn="0" w:lastRowFirstColumn="0" w:lastRowLastColumn="0"/>
          <w:trHeight w:val="567"/>
        </w:trPr>
        <w:tc>
          <w:tcPr>
            <w:tcW w:w="4678" w:type="dxa"/>
          </w:tcPr>
          <w:p w14:paraId="545209D1" w14:textId="77777777" w:rsidR="00E25DC9" w:rsidRPr="00E25DC9" w:rsidRDefault="00E25DC9" w:rsidP="00E25DC9">
            <w:pPr>
              <w:pStyle w:val="TableTitle"/>
              <w:rPr>
                <w:lang w:val="en-AU"/>
              </w:rPr>
            </w:pPr>
            <w:r w:rsidRPr="00E25DC9">
              <w:rPr>
                <w:lang w:val="en-AU"/>
              </w:rPr>
              <w:t xml:space="preserve">For each </w:t>
            </w:r>
            <w:r w:rsidRPr="00E25DC9">
              <w:rPr>
                <w:i/>
                <w:lang w:val="en-AU"/>
              </w:rPr>
              <w:t>non-scheduled load</w:t>
            </w:r>
            <w:r w:rsidRPr="00E25DC9">
              <w:rPr>
                <w:lang w:val="en-AU"/>
              </w:rPr>
              <w:t xml:space="preserve"> with appropriate metering.</w:t>
            </w:r>
          </w:p>
        </w:tc>
        <w:tc>
          <w:tcPr>
            <w:tcW w:w="4253" w:type="dxa"/>
          </w:tcPr>
          <w:p w14:paraId="6A4F7EA0" w14:textId="7D66F66F" w:rsidR="00E25DC9" w:rsidRPr="00E25DC9" w:rsidRDefault="00E25DC9" w:rsidP="00E25DC9">
            <w:pPr>
              <w:pStyle w:val="TableTitle"/>
              <w:rPr>
                <w:b/>
                <w:lang w:val="en-AU"/>
              </w:rPr>
            </w:pPr>
            <w:r w:rsidRPr="00E25DC9">
              <w:rPr>
                <w:b/>
                <w:lang w:val="en-AU"/>
              </w:rPr>
              <w:t xml:space="preserve">EQ. </w:t>
            </w:r>
            <w:r w:rsidRPr="00E25DC9">
              <w:rPr>
                <w:b/>
                <w:lang w:val="en-AU"/>
              </w:rPr>
              <w:fldChar w:fldCharType="begin"/>
            </w:r>
            <w:r w:rsidRPr="00E25DC9">
              <w:rPr>
                <w:b/>
                <w:lang w:val="en-AU"/>
              </w:rPr>
              <w:instrText xml:space="preserve"> SEQ Eq. \* ARABIC </w:instrText>
            </w:r>
            <w:r w:rsidRPr="00E25DC9">
              <w:rPr>
                <w:b/>
                <w:lang w:val="en-AU"/>
              </w:rPr>
              <w:fldChar w:fldCharType="separate"/>
            </w:r>
            <w:r w:rsidR="003E2BF7">
              <w:rPr>
                <w:b/>
                <w:noProof/>
                <w:lang w:val="en-AU"/>
              </w:rPr>
              <w:t>13</w:t>
            </w:r>
            <w:r w:rsidRPr="00E25DC9">
              <w:fldChar w:fldCharType="end"/>
            </w:r>
            <w:r w:rsidRPr="00E25DC9">
              <w:rPr>
                <w:b/>
                <w:lang w:val="en-AU"/>
              </w:rPr>
              <w:t>(a)</w:t>
            </w:r>
            <w:r w:rsidRPr="00E25DC9">
              <w:rPr>
                <w:b/>
                <w:lang w:val="en-AU"/>
              </w:rPr>
              <w:tab/>
            </w:r>
            <m:oMath>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NSM</m:t>
                  </m:r>
                </m:sub>
              </m:sSub>
              <m:r>
                <w:rPr>
                  <w:rFonts w:ascii="Cambria Math" w:hAnsi="Cambria Math"/>
                  <w:lang w:val="en-AU"/>
                </w:rPr>
                <m:t>(t)=</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NSM</m:t>
                  </m:r>
                </m:sub>
              </m:sSub>
              <m:d>
                <m:dPr>
                  <m:ctrlPr>
                    <w:rPr>
                      <w:rFonts w:ascii="Cambria Math" w:hAnsi="Cambria Math"/>
                      <w:i/>
                      <w:lang w:val="en-AU"/>
                    </w:rPr>
                  </m:ctrlPr>
                </m:dPr>
                <m:e>
                  <m:r>
                    <w:rPr>
                      <w:rFonts w:ascii="Cambria Math" w:hAnsi="Cambria Math"/>
                      <w:lang w:val="en-AU"/>
                    </w:rPr>
                    <m:t>t</m:t>
                  </m:r>
                </m:e>
              </m:d>
              <m:r>
                <w:rPr>
                  <w:rFonts w:ascii="Cambria Math" w:hAnsi="Cambria Math"/>
                  <w:lang w:val="en-AU"/>
                </w:rPr>
                <m:t>∙FI</m:t>
              </m:r>
              <m:d>
                <m:dPr>
                  <m:ctrlPr>
                    <w:rPr>
                      <w:rFonts w:ascii="Cambria Math" w:hAnsi="Cambria Math"/>
                      <w:i/>
                      <w:lang w:val="en-AU"/>
                    </w:rPr>
                  </m:ctrlPr>
                </m:dPr>
                <m:e>
                  <m:r>
                    <w:rPr>
                      <w:rFonts w:ascii="Cambria Math" w:hAnsi="Cambria Math"/>
                      <w:lang w:val="en-AU"/>
                    </w:rPr>
                    <m:t>t</m:t>
                  </m:r>
                </m:e>
              </m:d>
            </m:oMath>
          </w:p>
        </w:tc>
      </w:tr>
      <w:tr w:rsidR="00E25DC9" w:rsidRPr="00E25DC9" w14:paraId="0649DDFB" w14:textId="77777777" w:rsidTr="005C1B6C">
        <w:trPr>
          <w:cnfStyle w:val="000000100000" w:firstRow="0" w:lastRow="0" w:firstColumn="0" w:lastColumn="0" w:oddVBand="0" w:evenVBand="0" w:oddHBand="1" w:evenHBand="0" w:firstRowFirstColumn="0" w:firstRowLastColumn="0" w:lastRowFirstColumn="0" w:lastRowLastColumn="0"/>
          <w:trHeight w:val="567"/>
        </w:trPr>
        <w:tc>
          <w:tcPr>
            <w:tcW w:w="4678" w:type="dxa"/>
          </w:tcPr>
          <w:p w14:paraId="1B93508A" w14:textId="77777777" w:rsidR="00E25DC9" w:rsidRPr="00E25DC9" w:rsidRDefault="00E25DC9" w:rsidP="00E25DC9">
            <w:pPr>
              <w:pStyle w:val="TableTitle"/>
              <w:rPr>
                <w:lang w:val="en-AU"/>
              </w:rPr>
            </w:pPr>
            <w:r w:rsidRPr="00E25DC9">
              <w:rPr>
                <w:lang w:val="en-AU"/>
              </w:rPr>
              <w:t xml:space="preserve">For each </w:t>
            </w:r>
            <w:r w:rsidRPr="00E25DC9">
              <w:rPr>
                <w:i/>
                <w:lang w:val="en-AU"/>
              </w:rPr>
              <w:t>region</w:t>
            </w:r>
            <w:r w:rsidRPr="00E25DC9">
              <w:rPr>
                <w:lang w:val="en-AU"/>
              </w:rPr>
              <w:t>, representing the non-linearity of demand.</w:t>
            </w:r>
          </w:p>
        </w:tc>
        <w:tc>
          <w:tcPr>
            <w:tcW w:w="4253" w:type="dxa"/>
          </w:tcPr>
          <w:p w14:paraId="7D8584F0" w14:textId="4AFA3092" w:rsidR="00E25DC9" w:rsidRPr="00E25DC9" w:rsidRDefault="00E25DC9" w:rsidP="00E25DC9">
            <w:pPr>
              <w:pStyle w:val="TableTitle"/>
              <w:rPr>
                <w:lang w:val="en-AU"/>
              </w:rPr>
            </w:pPr>
            <w:r w:rsidRPr="00E25DC9">
              <w:rPr>
                <w:b/>
                <w:lang w:val="en-AU"/>
              </w:rPr>
              <w:t xml:space="preserve">EQ. </w:t>
            </w:r>
            <w:r w:rsidRPr="00E25DC9">
              <w:rPr>
                <w:b/>
                <w:lang w:val="en-AU"/>
              </w:rPr>
              <w:fldChar w:fldCharType="begin"/>
            </w:r>
            <w:r w:rsidRPr="00E25DC9">
              <w:rPr>
                <w:b/>
                <w:lang w:val="en-AU"/>
              </w:rPr>
              <w:instrText xml:space="preserve"> SEQ Eq. \* ARABIC </w:instrText>
            </w:r>
            <w:r w:rsidRPr="00E25DC9">
              <w:rPr>
                <w:b/>
                <w:lang w:val="en-AU"/>
              </w:rPr>
              <w:fldChar w:fldCharType="separate"/>
            </w:r>
            <w:r w:rsidR="003E2BF7">
              <w:rPr>
                <w:b/>
                <w:noProof/>
                <w:lang w:val="en-AU"/>
              </w:rPr>
              <w:t>14</w:t>
            </w:r>
            <w:r w:rsidRPr="00E25DC9">
              <w:fldChar w:fldCharType="end"/>
            </w:r>
            <w:r w:rsidRPr="00E25DC9">
              <w:rPr>
                <w:b/>
                <w:lang w:val="en-AU"/>
              </w:rPr>
              <w:tab/>
            </w:r>
            <w:r w:rsidRPr="00E25DC9">
              <w:rPr>
                <w:b/>
                <w:lang w:val="en-AU"/>
              </w:rPr>
              <w:tab/>
            </w:r>
            <m:oMath>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DG</m:t>
                  </m:r>
                </m:sub>
              </m:sSub>
              <m:r>
                <w:rPr>
                  <w:rFonts w:ascii="Cambria Math" w:hAnsi="Cambria Math"/>
                  <w:lang w:val="en-AU"/>
                </w:rPr>
                <m:t>(t)=</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DG</m:t>
                  </m:r>
                </m:sub>
              </m:sSub>
              <m:d>
                <m:dPr>
                  <m:ctrlPr>
                    <w:rPr>
                      <w:rFonts w:ascii="Cambria Math" w:hAnsi="Cambria Math"/>
                      <w:i/>
                      <w:lang w:val="en-AU"/>
                    </w:rPr>
                  </m:ctrlPr>
                </m:dPr>
                <m:e>
                  <m:r>
                    <w:rPr>
                      <w:rFonts w:ascii="Cambria Math" w:hAnsi="Cambria Math"/>
                      <w:lang w:val="en-AU"/>
                    </w:rPr>
                    <m:t>t</m:t>
                  </m:r>
                </m:e>
              </m:d>
              <m:r>
                <w:rPr>
                  <w:rFonts w:ascii="Cambria Math" w:hAnsi="Cambria Math"/>
                  <w:lang w:val="en-AU"/>
                </w:rPr>
                <m:t>∙FI</m:t>
              </m:r>
              <m:d>
                <m:dPr>
                  <m:ctrlPr>
                    <w:rPr>
                      <w:rFonts w:ascii="Cambria Math" w:hAnsi="Cambria Math"/>
                      <w:i/>
                      <w:lang w:val="en-AU"/>
                    </w:rPr>
                  </m:ctrlPr>
                </m:dPr>
                <m:e>
                  <m:r>
                    <w:rPr>
                      <w:rFonts w:ascii="Cambria Math" w:hAnsi="Cambria Math"/>
                      <w:lang w:val="en-AU"/>
                    </w:rPr>
                    <m:t>t</m:t>
                  </m:r>
                </m:e>
              </m:d>
            </m:oMath>
          </w:p>
        </w:tc>
      </w:tr>
      <w:tr w:rsidR="00E25DC9" w:rsidRPr="00E25DC9" w14:paraId="1A94E043" w14:textId="77777777" w:rsidTr="005C1B6C">
        <w:trPr>
          <w:cnfStyle w:val="000000010000" w:firstRow="0" w:lastRow="0" w:firstColumn="0" w:lastColumn="0" w:oddVBand="0" w:evenVBand="0" w:oddHBand="0" w:evenHBand="1" w:firstRowFirstColumn="0" w:firstRowLastColumn="0" w:lastRowFirstColumn="0" w:lastRowLastColumn="0"/>
          <w:trHeight w:val="567"/>
        </w:trPr>
        <w:tc>
          <w:tcPr>
            <w:tcW w:w="4678" w:type="dxa"/>
          </w:tcPr>
          <w:p w14:paraId="5AD5A426" w14:textId="77777777" w:rsidR="00E25DC9" w:rsidRPr="00E25DC9" w:rsidRDefault="00E25DC9" w:rsidP="00E25DC9">
            <w:pPr>
              <w:pStyle w:val="TableTitle"/>
              <w:rPr>
                <w:lang w:val="en-AU"/>
              </w:rPr>
            </w:pPr>
            <w:r w:rsidRPr="00E25DC9">
              <w:rPr>
                <w:lang w:val="en-AU"/>
              </w:rPr>
              <w:t xml:space="preserve">For each </w:t>
            </w:r>
            <w:r w:rsidRPr="00E25DC9">
              <w:rPr>
                <w:i/>
                <w:lang w:val="en-AU"/>
              </w:rPr>
              <w:t>region</w:t>
            </w:r>
            <w:r w:rsidRPr="00E25DC9">
              <w:rPr>
                <w:lang w:val="en-AU"/>
              </w:rPr>
              <w:t xml:space="preserve">, representing the demand forecasting error. </w:t>
            </w:r>
          </w:p>
        </w:tc>
        <w:tc>
          <w:tcPr>
            <w:tcW w:w="4253" w:type="dxa"/>
          </w:tcPr>
          <w:p w14:paraId="510727F6" w14:textId="10BA8949" w:rsidR="00E25DC9" w:rsidRPr="00E25DC9" w:rsidRDefault="00E25DC9" w:rsidP="00E25DC9">
            <w:pPr>
              <w:pStyle w:val="TableTitle"/>
              <w:rPr>
                <w:lang w:val="en-AU"/>
              </w:rPr>
            </w:pPr>
            <w:r w:rsidRPr="00E25DC9">
              <w:rPr>
                <w:b/>
                <w:lang w:val="en-AU"/>
              </w:rPr>
              <w:t xml:space="preserve">EQ. </w:t>
            </w:r>
            <w:r w:rsidRPr="00E25DC9">
              <w:rPr>
                <w:b/>
                <w:lang w:val="en-AU"/>
              </w:rPr>
              <w:fldChar w:fldCharType="begin"/>
            </w:r>
            <w:r w:rsidRPr="00E25DC9">
              <w:rPr>
                <w:b/>
                <w:lang w:val="en-AU"/>
              </w:rPr>
              <w:instrText xml:space="preserve"> SEQ Eq. \* ARABIC </w:instrText>
            </w:r>
            <w:r w:rsidRPr="00E25DC9">
              <w:rPr>
                <w:b/>
                <w:lang w:val="en-AU"/>
              </w:rPr>
              <w:fldChar w:fldCharType="separate"/>
            </w:r>
            <w:r w:rsidR="003E2BF7">
              <w:rPr>
                <w:b/>
                <w:noProof/>
                <w:lang w:val="en-AU"/>
              </w:rPr>
              <w:t>15</w:t>
            </w:r>
            <w:r w:rsidRPr="00E25DC9">
              <w:fldChar w:fldCharType="end"/>
            </w:r>
            <w:r w:rsidRPr="00E25DC9">
              <w:rPr>
                <w:b/>
                <w:lang w:val="en-AU"/>
              </w:rPr>
              <w:tab/>
            </w:r>
            <w:r w:rsidRPr="00E25DC9">
              <w:rPr>
                <w:b/>
                <w:lang w:val="en-AU"/>
              </w:rPr>
              <w:tab/>
            </w:r>
            <m:oMath>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FE</m:t>
                  </m:r>
                </m:sub>
              </m:sSub>
              <m:r>
                <w:rPr>
                  <w:rFonts w:ascii="Cambria Math" w:hAnsi="Cambria Math"/>
                  <w:lang w:val="en-AU"/>
                </w:rPr>
                <m:t>(t)=</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FE</m:t>
                  </m:r>
                </m:sub>
              </m:sSub>
              <m:d>
                <m:dPr>
                  <m:ctrlPr>
                    <w:rPr>
                      <w:rFonts w:ascii="Cambria Math" w:hAnsi="Cambria Math"/>
                      <w:i/>
                      <w:lang w:val="en-AU"/>
                    </w:rPr>
                  </m:ctrlPr>
                </m:dPr>
                <m:e>
                  <m:r>
                    <w:rPr>
                      <w:rFonts w:ascii="Cambria Math" w:hAnsi="Cambria Math"/>
                      <w:lang w:val="en-AU"/>
                    </w:rPr>
                    <m:t>t</m:t>
                  </m:r>
                </m:e>
              </m:d>
              <m:r>
                <w:rPr>
                  <w:rFonts w:ascii="Cambria Math" w:hAnsi="Cambria Math"/>
                  <w:lang w:val="en-AU"/>
                </w:rPr>
                <m:t>∙FI</m:t>
              </m:r>
              <m:d>
                <m:dPr>
                  <m:ctrlPr>
                    <w:rPr>
                      <w:rFonts w:ascii="Cambria Math" w:hAnsi="Cambria Math"/>
                      <w:i/>
                      <w:lang w:val="en-AU"/>
                    </w:rPr>
                  </m:ctrlPr>
                </m:dPr>
                <m:e>
                  <m:r>
                    <w:rPr>
                      <w:rFonts w:ascii="Cambria Math" w:hAnsi="Cambria Math"/>
                      <w:lang w:val="en-AU"/>
                    </w:rPr>
                    <m:t>t</m:t>
                  </m:r>
                </m:e>
              </m:d>
            </m:oMath>
          </w:p>
        </w:tc>
      </w:tr>
    </w:tbl>
    <w:p w14:paraId="2142895D" w14:textId="77777777" w:rsidR="00E25DC9" w:rsidRDefault="00E25DC9" w:rsidP="00E25DC9">
      <w:pPr>
        <w:pStyle w:val="TableTitle"/>
      </w:pPr>
    </w:p>
    <w:p w14:paraId="21221CAD" w14:textId="7039861B" w:rsidR="00947025" w:rsidRDefault="00947025" w:rsidP="00947025">
      <w:pPr>
        <w:pStyle w:val="Heading1"/>
      </w:pPr>
      <w:bookmarkStart w:id="46" w:name="_Ref475091017"/>
      <w:bookmarkStart w:id="47" w:name="_Toc475110440"/>
      <w:bookmarkStart w:id="48" w:name="_Toc504643168"/>
      <w:bookmarkStart w:id="49" w:name="_Toc508896709"/>
      <w:r>
        <w:t xml:space="preserve">Process and aggregate </w:t>
      </w:r>
      <w:r w:rsidRPr="009552D8">
        <w:t>factors</w:t>
      </w:r>
      <w:r>
        <w:t xml:space="preserve"> by unit or load</w:t>
      </w:r>
      <w:bookmarkEnd w:id="46"/>
      <w:bookmarkEnd w:id="47"/>
      <w:bookmarkEnd w:id="48"/>
      <w:bookmarkEnd w:id="49"/>
    </w:p>
    <w:p w14:paraId="69DAB5BD" w14:textId="6492F816" w:rsidR="005803E6" w:rsidRDefault="005803E6" w:rsidP="005803E6">
      <w:pPr>
        <w:pStyle w:val="ResetPara"/>
      </w:pPr>
    </w:p>
    <w:p w14:paraId="754450A3" w14:textId="2363F80E" w:rsidR="005803E6" w:rsidRDefault="005803E6" w:rsidP="005803E6">
      <w:pPr>
        <w:pStyle w:val="Heading2"/>
      </w:pPr>
      <w:bookmarkStart w:id="50" w:name="_Toc508896710"/>
      <w:bookmarkStart w:id="51" w:name="_Ref508955127"/>
      <w:r>
        <w:t>Categorise and Aggregate 4 Second Performance Measures</w:t>
      </w:r>
      <w:bookmarkEnd w:id="50"/>
      <w:bookmarkEnd w:id="51"/>
    </w:p>
    <w:p w14:paraId="4D2FFC3D" w14:textId="4875F73E" w:rsidR="005803E6" w:rsidRDefault="005803E6" w:rsidP="005803E6">
      <w:pPr>
        <w:pStyle w:val="ResetPara"/>
      </w:pPr>
    </w:p>
    <w:p w14:paraId="1B8BABE9" w14:textId="2ADA11DE" w:rsidR="005803E6" w:rsidRDefault="005803E6" w:rsidP="005803E6">
      <w:pPr>
        <w:pStyle w:val="Lista"/>
      </w:pPr>
      <w:r>
        <w:t xml:space="preserve">Each 4-second performance measure is further categorised to reflect whether the deviation occurred when the </w:t>
      </w:r>
      <w:r>
        <w:rPr>
          <w:i/>
        </w:rPr>
        <w:t xml:space="preserve">regulating raise service </w:t>
      </w:r>
      <w:r>
        <w:t xml:space="preserve">or </w:t>
      </w:r>
      <w:r>
        <w:rPr>
          <w:i/>
        </w:rPr>
        <w:t xml:space="preserve">regulating lower service </w:t>
      </w:r>
      <w:r>
        <w:t xml:space="preserve">was required, and whether the relevant </w:t>
      </w:r>
      <w:r>
        <w:rPr>
          <w:i/>
        </w:rPr>
        <w:t xml:space="preserve">plant </w:t>
      </w:r>
      <w:r>
        <w:t xml:space="preserve">was </w:t>
      </w:r>
      <w:r w:rsidRPr="005803E6">
        <w:rPr>
          <w:i/>
        </w:rPr>
        <w:t>enabled</w:t>
      </w:r>
      <w:r>
        <w:t xml:space="preserve"> to provide Regulation FCAS at the time. </w:t>
      </w:r>
    </w:p>
    <w:p w14:paraId="584EBF4B" w14:textId="71C364B5" w:rsidR="005803E6" w:rsidRDefault="005803E6" w:rsidP="005803E6">
      <w:pPr>
        <w:pStyle w:val="Lista"/>
      </w:pPr>
      <w:r>
        <w:t xml:space="preserve">In subsequent steps, these categories allow the calculation to identify when deviations helped or hindered </w:t>
      </w:r>
      <w:r>
        <w:rPr>
          <w:i/>
        </w:rPr>
        <w:t>power system frequency</w:t>
      </w:r>
      <w:r>
        <w:t xml:space="preserve">, and whether or not units have already been compensated for providing </w:t>
      </w:r>
      <w:r w:rsidRPr="005803E6">
        <w:rPr>
          <w:i/>
        </w:rPr>
        <w:t>frequency</w:t>
      </w:r>
      <w:r>
        <w:t xml:space="preserve"> support. </w:t>
      </w:r>
    </w:p>
    <w:p w14:paraId="709AEE45" w14:textId="675FD2FE" w:rsidR="005803E6" w:rsidRDefault="005803E6" w:rsidP="005803E6">
      <w:pPr>
        <w:pStyle w:val="Lista"/>
      </w:pPr>
      <w:r>
        <w:t xml:space="preserve">The categorised 4-second performance measures are aggregated </w:t>
      </w:r>
      <w:r w:rsidR="00D932D8">
        <w:t xml:space="preserve">to </w:t>
      </w:r>
      <w:r w:rsidR="00D932D8">
        <w:rPr>
          <w:i/>
        </w:rPr>
        <w:t xml:space="preserve">dispatch interval </w:t>
      </w:r>
      <w:r w:rsidR="00D932D8">
        <w:t xml:space="preserve">resolution, to determine </w:t>
      </w:r>
      <w:r>
        <w:t>the average performance for each DI after excluding periods where frequency error and the FI value are not correlated</w:t>
      </w:r>
      <w:r w:rsidR="00D932D8">
        <w:t xml:space="preserve">. This process results in categorised and aggregated 5-minute factors, presented in Table </w:t>
      </w:r>
      <w:r w:rsidR="008878D2">
        <w:t>7</w:t>
      </w:r>
      <w:r>
        <w:t>.</w:t>
      </w:r>
    </w:p>
    <w:p w14:paraId="7A2955EA" w14:textId="171AF9A6" w:rsidR="003E736B" w:rsidRDefault="003E736B" w:rsidP="003E736B">
      <w:pPr>
        <w:pStyle w:val="Lista"/>
      </w:pPr>
      <w:r>
        <w:t xml:space="preserve">At this point, a positive </w:t>
      </w:r>
      <w:r w:rsidR="00D932D8">
        <w:t>5</w:t>
      </w:r>
      <w:r>
        <w:t xml:space="preserve">-minute factor identifies a </w:t>
      </w:r>
      <w:r w:rsidRPr="00D932D8">
        <w:rPr>
          <w:i/>
        </w:rPr>
        <w:t>generating unit</w:t>
      </w:r>
      <w:r>
        <w:t xml:space="preserve"> or </w:t>
      </w:r>
      <w:r w:rsidRPr="00D932D8">
        <w:rPr>
          <w:i/>
        </w:rPr>
        <w:t>load</w:t>
      </w:r>
      <w:r>
        <w:t xml:space="preserve"> that responded in a manner that generally assisted </w:t>
      </w:r>
      <w:r w:rsidRPr="00D932D8">
        <w:rPr>
          <w:i/>
        </w:rPr>
        <w:t>power system frequency</w:t>
      </w:r>
      <w:r>
        <w:t xml:space="preserve"> during the </w:t>
      </w:r>
      <w:r w:rsidR="00D932D8">
        <w:t>DI</w:t>
      </w:r>
      <w:r>
        <w:t xml:space="preserve">. A negative factor identifies a </w:t>
      </w:r>
      <w:r w:rsidRPr="00D932D8">
        <w:rPr>
          <w:i/>
        </w:rPr>
        <w:t>generating unit</w:t>
      </w:r>
      <w:r>
        <w:t xml:space="preserve"> or </w:t>
      </w:r>
      <w:r w:rsidRPr="00D932D8">
        <w:rPr>
          <w:i/>
        </w:rPr>
        <w:t>load</w:t>
      </w:r>
      <w:r>
        <w:t xml:space="preserve"> that has generally c</w:t>
      </w:r>
      <w:r w:rsidR="00D932D8">
        <w:t xml:space="preserve">ontributed to </w:t>
      </w:r>
      <w:r>
        <w:t xml:space="preserve">the need for Regulation FCAS during the </w:t>
      </w:r>
      <w:r w:rsidR="00D932D8">
        <w:t>DI</w:t>
      </w:r>
      <w:r>
        <w:t>.</w:t>
      </w:r>
    </w:p>
    <w:p w14:paraId="00E81B5E" w14:textId="12804B78" w:rsidR="008878D2" w:rsidRDefault="008878D2" w:rsidP="008878D2">
      <w:pPr>
        <w:pStyle w:val="TableTitle"/>
      </w:pPr>
      <w:r>
        <w:lastRenderedPageBreak/>
        <w:t xml:space="preserve">Table 7 </w:t>
      </w:r>
      <w:r>
        <w:tab/>
        <w:t>Aggregation to 5-minute performance factors</w:t>
      </w:r>
    </w:p>
    <w:tbl>
      <w:tblPr>
        <w:tblStyle w:val="AEMOTable1"/>
        <w:tblW w:w="5058" w:type="pct"/>
        <w:tblLook w:val="0420" w:firstRow="1" w:lastRow="0" w:firstColumn="0" w:lastColumn="0" w:noHBand="0" w:noVBand="1"/>
      </w:tblPr>
      <w:tblGrid>
        <w:gridCol w:w="2835"/>
        <w:gridCol w:w="1640"/>
        <w:gridCol w:w="1639"/>
        <w:gridCol w:w="1542"/>
        <w:gridCol w:w="1635"/>
      </w:tblGrid>
      <w:tr w:rsidR="00604919" w:rsidRPr="00604919" w14:paraId="5711F84D" w14:textId="77777777" w:rsidTr="005C1B6C">
        <w:trPr>
          <w:cnfStyle w:val="100000000000" w:firstRow="1" w:lastRow="0" w:firstColumn="0" w:lastColumn="0" w:oddVBand="0" w:evenVBand="0" w:oddHBand="0" w:evenHBand="0" w:firstRowFirstColumn="0" w:firstRowLastColumn="0" w:lastRowFirstColumn="0" w:lastRowLastColumn="0"/>
        </w:trPr>
        <w:tc>
          <w:tcPr>
            <w:tcW w:w="1525" w:type="pct"/>
            <w:vAlign w:val="center"/>
          </w:tcPr>
          <w:p w14:paraId="4FD3705C" w14:textId="77777777" w:rsidR="00604919" w:rsidRPr="00604919" w:rsidRDefault="00604919" w:rsidP="00604919">
            <w:pPr>
              <w:keepNext/>
              <w:spacing w:after="160" w:line="259" w:lineRule="auto"/>
              <w:jc w:val="left"/>
              <w:rPr>
                <w:rFonts w:asciiTheme="minorHAnsi" w:eastAsiaTheme="minorHAnsi" w:hAnsiTheme="minorHAnsi" w:cstheme="minorBidi"/>
                <w:b w:val="0"/>
                <w:sz w:val="18"/>
                <w:szCs w:val="22"/>
              </w:rPr>
            </w:pPr>
            <w:r w:rsidRPr="00604919">
              <w:rPr>
                <w:rFonts w:asciiTheme="minorHAnsi" w:eastAsiaTheme="minorHAnsi" w:hAnsiTheme="minorHAnsi" w:cstheme="minorBidi"/>
                <w:b w:val="0"/>
                <w:sz w:val="18"/>
                <w:szCs w:val="22"/>
              </w:rPr>
              <w:t>Component type</w:t>
            </w:r>
          </w:p>
        </w:tc>
        <w:tc>
          <w:tcPr>
            <w:tcW w:w="882" w:type="pct"/>
          </w:tcPr>
          <w:p w14:paraId="7D8A4E63" w14:textId="77777777" w:rsidR="00604919" w:rsidRPr="00604919" w:rsidRDefault="00604919" w:rsidP="00604919">
            <w:pPr>
              <w:keepNext/>
              <w:spacing w:after="160" w:line="259" w:lineRule="auto"/>
              <w:jc w:val="left"/>
              <w:rPr>
                <w:rFonts w:asciiTheme="minorHAnsi" w:eastAsiaTheme="minorHAnsi" w:hAnsiTheme="minorHAnsi" w:cstheme="minorBidi"/>
                <w:b w:val="0"/>
                <w:sz w:val="18"/>
                <w:szCs w:val="22"/>
              </w:rPr>
            </w:pPr>
            <w:r w:rsidRPr="00604919">
              <w:rPr>
                <w:rFonts w:asciiTheme="minorHAnsi" w:eastAsiaTheme="minorHAnsi" w:hAnsiTheme="minorHAnsi" w:cstheme="minorBidi"/>
                <w:b w:val="0"/>
                <w:sz w:val="18"/>
                <w:szCs w:val="22"/>
              </w:rPr>
              <w:t>Sum of 4s factors With Raise Required &amp; Enabled</w:t>
            </w:r>
          </w:p>
        </w:tc>
        <w:tc>
          <w:tcPr>
            <w:tcW w:w="882" w:type="pct"/>
          </w:tcPr>
          <w:p w14:paraId="3DEE2B6B" w14:textId="77777777" w:rsidR="00604919" w:rsidRPr="00604919" w:rsidRDefault="00604919" w:rsidP="00604919">
            <w:pPr>
              <w:keepNext/>
              <w:spacing w:after="160" w:line="259" w:lineRule="auto"/>
              <w:jc w:val="left"/>
              <w:rPr>
                <w:rFonts w:asciiTheme="minorHAnsi" w:eastAsiaTheme="minorHAnsi" w:hAnsiTheme="minorHAnsi" w:cstheme="minorBidi"/>
                <w:b w:val="0"/>
                <w:sz w:val="18"/>
                <w:szCs w:val="22"/>
              </w:rPr>
            </w:pPr>
            <w:r w:rsidRPr="00604919">
              <w:rPr>
                <w:rFonts w:asciiTheme="minorHAnsi" w:eastAsiaTheme="minorHAnsi" w:hAnsiTheme="minorHAnsi" w:cstheme="minorBidi"/>
                <w:b w:val="0"/>
                <w:sz w:val="18"/>
                <w:szCs w:val="22"/>
              </w:rPr>
              <w:t>Sum of 4s factors With Lower Required &amp; Enabled</w:t>
            </w:r>
          </w:p>
        </w:tc>
        <w:tc>
          <w:tcPr>
            <w:tcW w:w="830" w:type="pct"/>
          </w:tcPr>
          <w:p w14:paraId="750480A9" w14:textId="77777777" w:rsidR="00604919" w:rsidRPr="00604919" w:rsidRDefault="00604919" w:rsidP="00604919">
            <w:pPr>
              <w:keepNext/>
              <w:spacing w:after="160" w:line="259" w:lineRule="auto"/>
              <w:jc w:val="left"/>
              <w:rPr>
                <w:rFonts w:asciiTheme="minorHAnsi" w:eastAsiaTheme="minorHAnsi" w:hAnsiTheme="minorHAnsi" w:cstheme="minorBidi"/>
                <w:b w:val="0"/>
                <w:sz w:val="18"/>
                <w:szCs w:val="22"/>
              </w:rPr>
            </w:pPr>
            <w:r w:rsidRPr="00604919">
              <w:rPr>
                <w:rFonts w:asciiTheme="minorHAnsi" w:eastAsiaTheme="minorHAnsi" w:hAnsiTheme="minorHAnsi" w:cstheme="minorBidi"/>
                <w:b w:val="0"/>
                <w:sz w:val="18"/>
                <w:szCs w:val="22"/>
              </w:rPr>
              <w:t>Sum of 4s factors With Raise Required &amp; Not Enabled</w:t>
            </w:r>
          </w:p>
        </w:tc>
        <w:tc>
          <w:tcPr>
            <w:tcW w:w="880" w:type="pct"/>
          </w:tcPr>
          <w:p w14:paraId="48C8B699" w14:textId="77777777" w:rsidR="00604919" w:rsidRPr="00604919" w:rsidRDefault="00604919" w:rsidP="00604919">
            <w:pPr>
              <w:keepNext/>
              <w:spacing w:after="160" w:line="259" w:lineRule="auto"/>
              <w:jc w:val="left"/>
              <w:rPr>
                <w:rFonts w:asciiTheme="minorHAnsi" w:eastAsiaTheme="minorHAnsi" w:hAnsiTheme="minorHAnsi" w:cstheme="minorBidi"/>
                <w:b w:val="0"/>
                <w:sz w:val="18"/>
                <w:szCs w:val="22"/>
              </w:rPr>
            </w:pPr>
            <w:r w:rsidRPr="00604919">
              <w:rPr>
                <w:rFonts w:asciiTheme="minorHAnsi" w:eastAsiaTheme="minorHAnsi" w:hAnsiTheme="minorHAnsi" w:cstheme="minorBidi"/>
                <w:b w:val="0"/>
                <w:sz w:val="18"/>
                <w:szCs w:val="22"/>
              </w:rPr>
              <w:t xml:space="preserve">Sum of 4s factors With Lower Required &amp; Not Enabled </w:t>
            </w:r>
          </w:p>
        </w:tc>
      </w:tr>
      <w:tr w:rsidR="00604919" w:rsidRPr="00604919" w14:paraId="208636AA" w14:textId="77777777" w:rsidTr="005C1B6C">
        <w:trPr>
          <w:cnfStyle w:val="000000100000" w:firstRow="0" w:lastRow="0" w:firstColumn="0" w:lastColumn="0" w:oddVBand="0" w:evenVBand="0" w:oddHBand="1" w:evenHBand="0" w:firstRowFirstColumn="0" w:firstRowLastColumn="0" w:lastRowFirstColumn="0" w:lastRowLastColumn="0"/>
        </w:trPr>
        <w:tc>
          <w:tcPr>
            <w:tcW w:w="1525" w:type="pct"/>
          </w:tcPr>
          <w:p w14:paraId="676F9150" w14:textId="77777777" w:rsidR="00604919" w:rsidRPr="00604919" w:rsidRDefault="00604919" w:rsidP="00604919">
            <w:pPr>
              <w:keepNext/>
              <w:spacing w:after="160" w:line="259" w:lineRule="auto"/>
              <w:jc w:val="left"/>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 xml:space="preserve">For each </w:t>
            </w:r>
            <w:r w:rsidRPr="00604919">
              <w:rPr>
                <w:rFonts w:asciiTheme="minorHAnsi" w:eastAsiaTheme="minorHAnsi" w:hAnsiTheme="minorHAnsi" w:cstheme="minorBidi"/>
                <w:i/>
                <w:sz w:val="18"/>
                <w:szCs w:val="22"/>
              </w:rPr>
              <w:t>scheduled</w:t>
            </w:r>
            <w:r w:rsidRPr="00604919">
              <w:rPr>
                <w:rFonts w:asciiTheme="minorHAnsi" w:eastAsiaTheme="minorHAnsi" w:hAnsiTheme="minorHAnsi" w:cstheme="minorBidi"/>
                <w:sz w:val="18"/>
                <w:szCs w:val="22"/>
              </w:rPr>
              <w:t xml:space="preserve"> and </w:t>
            </w:r>
            <w:r w:rsidRPr="00604919">
              <w:rPr>
                <w:rFonts w:asciiTheme="minorHAnsi" w:eastAsiaTheme="minorHAnsi" w:hAnsiTheme="minorHAnsi" w:cstheme="minorBidi"/>
                <w:i/>
                <w:sz w:val="18"/>
                <w:szCs w:val="22"/>
              </w:rPr>
              <w:t>semi-scheduled generating unit</w:t>
            </w:r>
            <w:r w:rsidRPr="00604919">
              <w:rPr>
                <w:rFonts w:asciiTheme="minorHAnsi" w:eastAsiaTheme="minorHAnsi" w:hAnsiTheme="minorHAnsi" w:cstheme="minorBidi"/>
                <w:sz w:val="18"/>
                <w:szCs w:val="22"/>
              </w:rPr>
              <w:t xml:space="preserve"> or </w:t>
            </w:r>
            <w:r w:rsidRPr="00604919">
              <w:rPr>
                <w:rFonts w:asciiTheme="minorHAnsi" w:eastAsiaTheme="minorHAnsi" w:hAnsiTheme="minorHAnsi" w:cstheme="minorBidi"/>
                <w:i/>
                <w:sz w:val="18"/>
                <w:szCs w:val="22"/>
              </w:rPr>
              <w:t>scheduled load</w:t>
            </w:r>
            <w:r w:rsidRPr="00604919">
              <w:rPr>
                <w:rFonts w:asciiTheme="minorHAnsi" w:eastAsiaTheme="minorHAnsi" w:hAnsiTheme="minorHAnsi" w:cstheme="minorBidi"/>
                <w:sz w:val="18"/>
                <w:szCs w:val="22"/>
              </w:rPr>
              <w:t>.</w:t>
            </w:r>
          </w:p>
        </w:tc>
        <w:tc>
          <w:tcPr>
            <w:tcW w:w="882" w:type="pct"/>
            <w:vAlign w:val="center"/>
          </w:tcPr>
          <w:p w14:paraId="3E26A71E"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REF</m:t>
                    </m:r>
                  </m:e>
                  <m:sub>
                    <m:r>
                      <w:rPr>
                        <w:rFonts w:ascii="Cambria Math" w:eastAsiaTheme="minorHAnsi" w:hAnsi="Cambria Math" w:cstheme="minorBidi"/>
                        <w:sz w:val="18"/>
                        <w:szCs w:val="22"/>
                        <w:vertAlign w:val="subscript"/>
                      </w:rPr>
                      <m:t>SM</m:t>
                    </m:r>
                  </m:sub>
                </m:sSub>
              </m:oMath>
            </m:oMathPara>
          </w:p>
        </w:tc>
        <w:tc>
          <w:tcPr>
            <w:tcW w:w="882" w:type="pct"/>
            <w:vAlign w:val="center"/>
          </w:tcPr>
          <w:p w14:paraId="6BE609CE"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LEF</m:t>
                    </m:r>
                  </m:e>
                  <m:sub>
                    <m:r>
                      <w:rPr>
                        <w:rFonts w:ascii="Cambria Math" w:eastAsiaTheme="minorHAnsi" w:hAnsi="Cambria Math" w:cstheme="minorBidi"/>
                        <w:sz w:val="18"/>
                        <w:szCs w:val="22"/>
                        <w:vertAlign w:val="subscript"/>
                      </w:rPr>
                      <m:t>SM</m:t>
                    </m:r>
                  </m:sub>
                </m:sSub>
              </m:oMath>
            </m:oMathPara>
          </w:p>
        </w:tc>
        <w:tc>
          <w:tcPr>
            <w:tcW w:w="830" w:type="pct"/>
            <w:vAlign w:val="center"/>
          </w:tcPr>
          <w:p w14:paraId="731310DB"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RNEF</m:t>
                    </m:r>
                  </m:e>
                  <m:sub>
                    <m:r>
                      <w:rPr>
                        <w:rFonts w:ascii="Cambria Math" w:eastAsiaTheme="minorHAnsi" w:hAnsi="Cambria Math" w:cstheme="minorBidi"/>
                        <w:sz w:val="18"/>
                        <w:szCs w:val="22"/>
                        <w:vertAlign w:val="subscript"/>
                      </w:rPr>
                      <m:t>SM</m:t>
                    </m:r>
                  </m:sub>
                </m:sSub>
              </m:oMath>
            </m:oMathPara>
          </w:p>
        </w:tc>
        <w:tc>
          <w:tcPr>
            <w:tcW w:w="880" w:type="pct"/>
            <w:vAlign w:val="center"/>
          </w:tcPr>
          <w:p w14:paraId="3D7A867D"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LNEF</m:t>
                    </m:r>
                  </m:e>
                  <m:sub>
                    <m:r>
                      <w:rPr>
                        <w:rFonts w:ascii="Cambria Math" w:eastAsiaTheme="minorHAnsi" w:hAnsi="Cambria Math" w:cstheme="minorBidi"/>
                        <w:sz w:val="18"/>
                        <w:szCs w:val="22"/>
                        <w:vertAlign w:val="subscript"/>
                      </w:rPr>
                      <m:t>SM</m:t>
                    </m:r>
                  </m:sub>
                </m:sSub>
              </m:oMath>
            </m:oMathPara>
          </w:p>
        </w:tc>
      </w:tr>
      <w:tr w:rsidR="00604919" w:rsidRPr="00604919" w14:paraId="1A357F8D" w14:textId="77777777" w:rsidTr="005C1B6C">
        <w:trPr>
          <w:cnfStyle w:val="000000010000" w:firstRow="0" w:lastRow="0" w:firstColumn="0" w:lastColumn="0" w:oddVBand="0" w:evenVBand="0" w:oddHBand="0" w:evenHBand="1" w:firstRowFirstColumn="0" w:firstRowLastColumn="0" w:lastRowFirstColumn="0" w:lastRowLastColumn="0"/>
        </w:trPr>
        <w:tc>
          <w:tcPr>
            <w:tcW w:w="1525" w:type="pct"/>
          </w:tcPr>
          <w:p w14:paraId="57EBD5A6" w14:textId="77777777" w:rsidR="00604919" w:rsidRPr="00604919" w:rsidRDefault="00604919" w:rsidP="00604919">
            <w:pPr>
              <w:keepNext/>
              <w:spacing w:after="160" w:line="259" w:lineRule="auto"/>
              <w:jc w:val="left"/>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 xml:space="preserve">For each </w:t>
            </w:r>
            <w:r w:rsidRPr="00604919">
              <w:rPr>
                <w:rFonts w:asciiTheme="minorHAnsi" w:eastAsiaTheme="minorHAnsi" w:hAnsiTheme="minorHAnsi" w:cstheme="minorBidi"/>
                <w:i/>
                <w:sz w:val="18"/>
                <w:szCs w:val="22"/>
              </w:rPr>
              <w:t>non-scheduled generating unit</w:t>
            </w:r>
            <w:r w:rsidRPr="00604919">
              <w:rPr>
                <w:rFonts w:asciiTheme="minorHAnsi" w:eastAsiaTheme="minorHAnsi" w:hAnsiTheme="minorHAnsi" w:cstheme="minorBidi"/>
                <w:sz w:val="18"/>
                <w:szCs w:val="22"/>
              </w:rPr>
              <w:t xml:space="preserve"> or </w:t>
            </w:r>
            <w:r w:rsidRPr="00604919">
              <w:rPr>
                <w:rFonts w:asciiTheme="minorHAnsi" w:eastAsiaTheme="minorHAnsi" w:hAnsiTheme="minorHAnsi" w:cstheme="minorBidi"/>
                <w:i/>
                <w:sz w:val="18"/>
                <w:szCs w:val="22"/>
              </w:rPr>
              <w:t>load</w:t>
            </w:r>
            <w:r w:rsidRPr="00604919">
              <w:rPr>
                <w:rFonts w:asciiTheme="minorHAnsi" w:eastAsiaTheme="minorHAnsi" w:hAnsiTheme="minorHAnsi" w:cstheme="minorBidi"/>
                <w:sz w:val="18"/>
                <w:szCs w:val="22"/>
              </w:rPr>
              <w:t xml:space="preserve"> with appropriate metering.</w:t>
            </w:r>
          </w:p>
        </w:tc>
        <w:tc>
          <w:tcPr>
            <w:tcW w:w="882" w:type="pct"/>
            <w:vAlign w:val="center"/>
          </w:tcPr>
          <w:p w14:paraId="0D701C7F"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REF</m:t>
                    </m:r>
                  </m:e>
                  <m:sub>
                    <m:r>
                      <w:rPr>
                        <w:rFonts w:ascii="Cambria Math" w:eastAsiaTheme="minorHAnsi" w:hAnsi="Cambria Math" w:cstheme="minorBidi"/>
                        <w:sz w:val="18"/>
                        <w:szCs w:val="22"/>
                        <w:vertAlign w:val="subscript"/>
                      </w:rPr>
                      <m:t>NSM</m:t>
                    </m:r>
                  </m:sub>
                </m:sSub>
              </m:oMath>
            </m:oMathPara>
          </w:p>
        </w:tc>
        <w:tc>
          <w:tcPr>
            <w:tcW w:w="882" w:type="pct"/>
            <w:vAlign w:val="center"/>
          </w:tcPr>
          <w:p w14:paraId="2101E9CA"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LEF</m:t>
                    </m:r>
                  </m:e>
                  <m:sub>
                    <m:r>
                      <w:rPr>
                        <w:rFonts w:ascii="Cambria Math" w:eastAsiaTheme="minorHAnsi" w:hAnsi="Cambria Math" w:cstheme="minorBidi"/>
                        <w:sz w:val="18"/>
                        <w:szCs w:val="22"/>
                        <w:vertAlign w:val="subscript"/>
                      </w:rPr>
                      <m:t>NSM</m:t>
                    </m:r>
                  </m:sub>
                </m:sSub>
              </m:oMath>
            </m:oMathPara>
          </w:p>
        </w:tc>
        <w:tc>
          <w:tcPr>
            <w:tcW w:w="830" w:type="pct"/>
            <w:vAlign w:val="center"/>
          </w:tcPr>
          <w:p w14:paraId="61729FF4"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RNEF</m:t>
                    </m:r>
                  </m:e>
                  <m:sub>
                    <m:r>
                      <w:rPr>
                        <w:rFonts w:ascii="Cambria Math" w:eastAsiaTheme="minorHAnsi" w:hAnsi="Cambria Math" w:cstheme="minorBidi"/>
                        <w:sz w:val="18"/>
                        <w:szCs w:val="22"/>
                        <w:vertAlign w:val="subscript"/>
                      </w:rPr>
                      <m:t>NSM</m:t>
                    </m:r>
                  </m:sub>
                </m:sSub>
              </m:oMath>
            </m:oMathPara>
          </w:p>
        </w:tc>
        <w:tc>
          <w:tcPr>
            <w:tcW w:w="880" w:type="pct"/>
            <w:vAlign w:val="center"/>
          </w:tcPr>
          <w:p w14:paraId="056F4EFA"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LNEF</m:t>
                    </m:r>
                  </m:e>
                  <m:sub>
                    <m:r>
                      <w:rPr>
                        <w:rFonts w:ascii="Cambria Math" w:eastAsiaTheme="minorHAnsi" w:hAnsi="Cambria Math" w:cstheme="minorBidi"/>
                        <w:sz w:val="18"/>
                        <w:szCs w:val="22"/>
                        <w:vertAlign w:val="subscript"/>
                      </w:rPr>
                      <m:t>NSM</m:t>
                    </m:r>
                  </m:sub>
                </m:sSub>
              </m:oMath>
            </m:oMathPara>
          </w:p>
        </w:tc>
      </w:tr>
      <w:tr w:rsidR="00604919" w:rsidRPr="00604919" w14:paraId="1BF6CE20" w14:textId="77777777" w:rsidTr="005C1B6C">
        <w:trPr>
          <w:cnfStyle w:val="000000100000" w:firstRow="0" w:lastRow="0" w:firstColumn="0" w:lastColumn="0" w:oddVBand="0" w:evenVBand="0" w:oddHBand="1" w:evenHBand="0" w:firstRowFirstColumn="0" w:firstRowLastColumn="0" w:lastRowFirstColumn="0" w:lastRowLastColumn="0"/>
        </w:trPr>
        <w:tc>
          <w:tcPr>
            <w:tcW w:w="1525" w:type="pct"/>
          </w:tcPr>
          <w:p w14:paraId="116AF694" w14:textId="77777777" w:rsidR="00604919" w:rsidRPr="00604919" w:rsidRDefault="00604919" w:rsidP="00604919">
            <w:pPr>
              <w:keepNext/>
              <w:spacing w:after="160" w:line="259" w:lineRule="auto"/>
              <w:jc w:val="left"/>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 xml:space="preserve">For each </w:t>
            </w:r>
            <w:r w:rsidRPr="00604919">
              <w:rPr>
                <w:rFonts w:asciiTheme="minorHAnsi" w:eastAsiaTheme="minorHAnsi" w:hAnsiTheme="minorHAnsi" w:cstheme="minorBidi"/>
                <w:i/>
                <w:sz w:val="18"/>
                <w:szCs w:val="22"/>
              </w:rPr>
              <w:t>region</w:t>
            </w:r>
            <w:r w:rsidRPr="00604919">
              <w:rPr>
                <w:rFonts w:asciiTheme="minorHAnsi" w:eastAsiaTheme="minorHAnsi" w:hAnsiTheme="minorHAnsi" w:cstheme="minorBidi"/>
                <w:sz w:val="18"/>
                <w:szCs w:val="22"/>
              </w:rPr>
              <w:t>, representing the non-linearity of demand.</w:t>
            </w:r>
          </w:p>
        </w:tc>
        <w:tc>
          <w:tcPr>
            <w:tcW w:w="882" w:type="pct"/>
            <w:vAlign w:val="center"/>
          </w:tcPr>
          <w:p w14:paraId="4F8241A3" w14:textId="77777777" w:rsidR="00604919" w:rsidRPr="00604919" w:rsidRDefault="00604919" w:rsidP="00604919">
            <w:pPr>
              <w:keepNext/>
              <w:spacing w:after="160" w:line="259" w:lineRule="auto"/>
              <w:jc w:val="center"/>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w:t>
            </w:r>
          </w:p>
        </w:tc>
        <w:tc>
          <w:tcPr>
            <w:tcW w:w="882" w:type="pct"/>
            <w:vAlign w:val="center"/>
          </w:tcPr>
          <w:p w14:paraId="531CFB0E" w14:textId="77777777" w:rsidR="00604919" w:rsidRPr="00604919" w:rsidRDefault="00604919" w:rsidP="00604919">
            <w:pPr>
              <w:keepNext/>
              <w:spacing w:after="160" w:line="259" w:lineRule="auto"/>
              <w:jc w:val="center"/>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w:t>
            </w:r>
          </w:p>
        </w:tc>
        <w:tc>
          <w:tcPr>
            <w:tcW w:w="830" w:type="pct"/>
            <w:vAlign w:val="center"/>
          </w:tcPr>
          <w:p w14:paraId="19D8370F"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RNEF</m:t>
                    </m:r>
                  </m:e>
                  <m:sub>
                    <m:r>
                      <w:rPr>
                        <w:rFonts w:ascii="Cambria Math" w:eastAsiaTheme="minorHAnsi" w:hAnsi="Cambria Math" w:cstheme="minorBidi"/>
                        <w:sz w:val="18"/>
                        <w:szCs w:val="22"/>
                        <w:vertAlign w:val="subscript"/>
                      </w:rPr>
                      <m:t>DG</m:t>
                    </m:r>
                  </m:sub>
                </m:sSub>
              </m:oMath>
            </m:oMathPara>
          </w:p>
        </w:tc>
        <w:tc>
          <w:tcPr>
            <w:tcW w:w="880" w:type="pct"/>
            <w:vAlign w:val="center"/>
          </w:tcPr>
          <w:p w14:paraId="16C4EE4D" w14:textId="77777777" w:rsidR="00604919" w:rsidRPr="00604919" w:rsidRDefault="00AF71FC" w:rsidP="00604919">
            <w:pPr>
              <w:keepNext/>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LNEF</m:t>
                    </m:r>
                  </m:e>
                  <m:sub>
                    <m:r>
                      <w:rPr>
                        <w:rFonts w:ascii="Cambria Math" w:eastAsiaTheme="minorHAnsi" w:hAnsi="Cambria Math" w:cstheme="minorBidi"/>
                        <w:sz w:val="18"/>
                        <w:szCs w:val="22"/>
                        <w:vertAlign w:val="subscript"/>
                      </w:rPr>
                      <m:t>DG</m:t>
                    </m:r>
                  </m:sub>
                </m:sSub>
              </m:oMath>
            </m:oMathPara>
          </w:p>
        </w:tc>
      </w:tr>
      <w:tr w:rsidR="00604919" w:rsidRPr="00604919" w14:paraId="60524319" w14:textId="77777777" w:rsidTr="005C1B6C">
        <w:trPr>
          <w:cnfStyle w:val="000000010000" w:firstRow="0" w:lastRow="0" w:firstColumn="0" w:lastColumn="0" w:oddVBand="0" w:evenVBand="0" w:oddHBand="0" w:evenHBand="1" w:firstRowFirstColumn="0" w:firstRowLastColumn="0" w:lastRowFirstColumn="0" w:lastRowLastColumn="0"/>
        </w:trPr>
        <w:tc>
          <w:tcPr>
            <w:tcW w:w="1525" w:type="pct"/>
          </w:tcPr>
          <w:p w14:paraId="664E6668" w14:textId="77777777" w:rsidR="00604919" w:rsidRPr="00604919" w:rsidRDefault="00604919" w:rsidP="00604919">
            <w:pPr>
              <w:spacing w:after="160" w:line="259" w:lineRule="auto"/>
              <w:jc w:val="left"/>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 xml:space="preserve">For each </w:t>
            </w:r>
            <w:r w:rsidRPr="00604919">
              <w:rPr>
                <w:rFonts w:asciiTheme="minorHAnsi" w:eastAsiaTheme="minorHAnsi" w:hAnsiTheme="minorHAnsi" w:cstheme="minorBidi"/>
                <w:i/>
                <w:sz w:val="18"/>
                <w:szCs w:val="22"/>
              </w:rPr>
              <w:t>region</w:t>
            </w:r>
            <w:r w:rsidRPr="00604919">
              <w:rPr>
                <w:rFonts w:asciiTheme="minorHAnsi" w:eastAsiaTheme="minorHAnsi" w:hAnsiTheme="minorHAnsi" w:cstheme="minorBidi"/>
                <w:sz w:val="18"/>
                <w:szCs w:val="22"/>
              </w:rPr>
              <w:t xml:space="preserve">, representing the demand forecasting error. </w:t>
            </w:r>
          </w:p>
        </w:tc>
        <w:tc>
          <w:tcPr>
            <w:tcW w:w="882" w:type="pct"/>
            <w:vAlign w:val="center"/>
          </w:tcPr>
          <w:p w14:paraId="68BB9A3E" w14:textId="77777777" w:rsidR="00604919" w:rsidRPr="00604919" w:rsidRDefault="00604919" w:rsidP="00604919">
            <w:pPr>
              <w:spacing w:after="160" w:line="259" w:lineRule="auto"/>
              <w:jc w:val="center"/>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w:t>
            </w:r>
          </w:p>
        </w:tc>
        <w:tc>
          <w:tcPr>
            <w:tcW w:w="882" w:type="pct"/>
            <w:vAlign w:val="center"/>
          </w:tcPr>
          <w:p w14:paraId="00191D09" w14:textId="77777777" w:rsidR="00604919" w:rsidRPr="00604919" w:rsidRDefault="00604919" w:rsidP="00604919">
            <w:pPr>
              <w:spacing w:after="160" w:line="259" w:lineRule="auto"/>
              <w:jc w:val="center"/>
              <w:rPr>
                <w:rFonts w:asciiTheme="minorHAnsi" w:eastAsiaTheme="minorHAnsi" w:hAnsiTheme="minorHAnsi" w:cstheme="minorBidi"/>
                <w:sz w:val="18"/>
                <w:szCs w:val="22"/>
              </w:rPr>
            </w:pPr>
            <w:r w:rsidRPr="00604919">
              <w:rPr>
                <w:rFonts w:asciiTheme="minorHAnsi" w:eastAsiaTheme="minorHAnsi" w:hAnsiTheme="minorHAnsi" w:cstheme="minorBidi"/>
                <w:sz w:val="18"/>
                <w:szCs w:val="22"/>
              </w:rPr>
              <w:t>-</w:t>
            </w:r>
          </w:p>
        </w:tc>
        <w:tc>
          <w:tcPr>
            <w:tcW w:w="830" w:type="pct"/>
            <w:vAlign w:val="center"/>
          </w:tcPr>
          <w:p w14:paraId="5E7B93F2" w14:textId="77777777" w:rsidR="00604919" w:rsidRPr="00604919" w:rsidRDefault="00AF71FC" w:rsidP="00604919">
            <w:pPr>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RNEF</m:t>
                    </m:r>
                  </m:e>
                  <m:sub>
                    <m:r>
                      <w:rPr>
                        <w:rFonts w:ascii="Cambria Math" w:eastAsiaTheme="minorHAnsi" w:hAnsi="Cambria Math" w:cstheme="minorBidi"/>
                        <w:sz w:val="18"/>
                        <w:szCs w:val="22"/>
                        <w:vertAlign w:val="subscript"/>
                      </w:rPr>
                      <m:t>FE</m:t>
                    </m:r>
                  </m:sub>
                </m:sSub>
              </m:oMath>
            </m:oMathPara>
          </w:p>
        </w:tc>
        <w:tc>
          <w:tcPr>
            <w:tcW w:w="880" w:type="pct"/>
            <w:vAlign w:val="center"/>
          </w:tcPr>
          <w:p w14:paraId="45E7952A" w14:textId="77777777" w:rsidR="00604919" w:rsidRPr="00604919" w:rsidRDefault="00AF71FC" w:rsidP="00604919">
            <w:pPr>
              <w:spacing w:after="160" w:line="259" w:lineRule="auto"/>
              <w:jc w:val="center"/>
              <w:rPr>
                <w:rFonts w:asciiTheme="minorHAnsi" w:eastAsiaTheme="minorHAnsi" w:hAnsiTheme="minorHAnsi" w:cstheme="minorBidi"/>
                <w:sz w:val="18"/>
                <w:szCs w:val="22"/>
                <w:vertAlign w:val="subscript"/>
              </w:rPr>
            </w:pPr>
            <m:oMathPara>
              <m:oMath>
                <m:sSub>
                  <m:sSubPr>
                    <m:ctrlPr>
                      <w:rPr>
                        <w:rFonts w:ascii="Cambria Math" w:eastAsiaTheme="minorHAnsi" w:hAnsi="Cambria Math" w:cstheme="minorBidi"/>
                        <w:i/>
                        <w:sz w:val="18"/>
                        <w:szCs w:val="22"/>
                        <w:vertAlign w:val="subscript"/>
                      </w:rPr>
                    </m:ctrlPr>
                  </m:sSubPr>
                  <m:e>
                    <m:r>
                      <w:rPr>
                        <w:rFonts w:ascii="Cambria Math" w:eastAsiaTheme="minorHAnsi" w:hAnsi="Cambria Math" w:cstheme="minorBidi"/>
                        <w:sz w:val="18"/>
                        <w:szCs w:val="22"/>
                        <w:vertAlign w:val="subscript"/>
                      </w:rPr>
                      <m:t>LNEF</m:t>
                    </m:r>
                  </m:e>
                  <m:sub>
                    <m:r>
                      <w:rPr>
                        <w:rFonts w:ascii="Cambria Math" w:eastAsiaTheme="minorHAnsi" w:hAnsi="Cambria Math" w:cstheme="minorBidi"/>
                        <w:sz w:val="18"/>
                        <w:szCs w:val="22"/>
                        <w:vertAlign w:val="subscript"/>
                      </w:rPr>
                      <m:t>FE</m:t>
                    </m:r>
                  </m:sub>
                </m:sSub>
              </m:oMath>
            </m:oMathPara>
          </w:p>
        </w:tc>
      </w:tr>
    </w:tbl>
    <w:p w14:paraId="5EDBE407" w14:textId="77777777" w:rsidR="00604919" w:rsidRDefault="00604919" w:rsidP="008878D2">
      <w:pPr>
        <w:pStyle w:val="TableTitle"/>
      </w:pPr>
    </w:p>
    <w:p w14:paraId="26ACF6CE" w14:textId="7BD2E946" w:rsidR="005803E6" w:rsidRDefault="00AC0B2D" w:rsidP="005803E6">
      <w:pPr>
        <w:pStyle w:val="Heading2"/>
      </w:pPr>
      <w:bookmarkStart w:id="52" w:name="_Toc508896711"/>
      <w:bookmarkStart w:id="53" w:name="_Ref508955648"/>
      <w:r>
        <w:t xml:space="preserve">Exclude </w:t>
      </w:r>
      <w:r w:rsidR="004554D7">
        <w:t>Periods Affected by Contingencies or Bad SCADA</w:t>
      </w:r>
      <w:bookmarkEnd w:id="52"/>
      <w:bookmarkEnd w:id="53"/>
    </w:p>
    <w:p w14:paraId="654C26E7" w14:textId="07117915" w:rsidR="004554D7" w:rsidRDefault="004554D7" w:rsidP="004554D7">
      <w:pPr>
        <w:pStyle w:val="ResetPara"/>
      </w:pPr>
    </w:p>
    <w:p w14:paraId="3E717BD6" w14:textId="0D629AC1" w:rsidR="004554D7" w:rsidRDefault="004554D7" w:rsidP="004554D7">
      <w:pPr>
        <w:pStyle w:val="Lista"/>
      </w:pPr>
      <w:r>
        <w:t>For a given DI</w:t>
      </w:r>
      <w:r w:rsidR="00520D19">
        <w:t xml:space="preserve"> and area</w:t>
      </w:r>
      <w:r>
        <w:t xml:space="preserve">, all factors (REF, LEF, RNEF, LNEF) are excluded from further calculation for all </w:t>
      </w:r>
      <w:r>
        <w:rPr>
          <w:i/>
        </w:rPr>
        <w:t>generating units</w:t>
      </w:r>
      <w:r>
        <w:t xml:space="preserve">, </w:t>
      </w:r>
      <w:r w:rsidRPr="004554D7">
        <w:rPr>
          <w:i/>
        </w:rPr>
        <w:t>loads</w:t>
      </w:r>
      <w:r>
        <w:t xml:space="preserve">, and </w:t>
      </w:r>
      <w:r w:rsidRPr="004554D7">
        <w:rPr>
          <w:i/>
        </w:rPr>
        <w:t>regions</w:t>
      </w:r>
      <w:r>
        <w:t>, if:</w:t>
      </w:r>
    </w:p>
    <w:p w14:paraId="22A89D35" w14:textId="2C34481C" w:rsidR="004554D7" w:rsidRDefault="004554D7" w:rsidP="004554D7">
      <w:pPr>
        <w:pStyle w:val="Listi"/>
      </w:pPr>
      <w:r>
        <w:t xml:space="preserve">the </w:t>
      </w:r>
      <w:r w:rsidRPr="004554D7">
        <w:rPr>
          <w:i/>
        </w:rPr>
        <w:t>power system frequency</w:t>
      </w:r>
      <w:r>
        <w:t xml:space="preserve"> is outside the </w:t>
      </w:r>
      <w:r w:rsidRPr="004554D7">
        <w:rPr>
          <w:i/>
        </w:rPr>
        <w:t>normal operating frequency band</w:t>
      </w:r>
      <w:r>
        <w:t xml:space="preserve"> due to a </w:t>
      </w:r>
      <w:r w:rsidRPr="004554D7">
        <w:rPr>
          <w:i/>
        </w:rPr>
        <w:t>contingency event</w:t>
      </w:r>
      <w:r>
        <w:t xml:space="preserve"> in any 4-second sample within the DI; </w:t>
      </w:r>
    </w:p>
    <w:p w14:paraId="0DD7E054" w14:textId="77777777" w:rsidR="00436DAB" w:rsidRDefault="004554D7" w:rsidP="004554D7">
      <w:pPr>
        <w:pStyle w:val="Listi"/>
      </w:pPr>
      <w:r>
        <w:t>one or more 4-second SCADA samples are deemed corrupt, unless that data can be substituted by reliable data from an alternative source, such as a duplicate server</w:t>
      </w:r>
      <w:r w:rsidR="00436DAB">
        <w:t>; or</w:t>
      </w:r>
    </w:p>
    <w:p w14:paraId="39A3B346" w14:textId="018962EF" w:rsidR="004554D7" w:rsidRDefault="00A02098" w:rsidP="004554D7">
      <w:pPr>
        <w:pStyle w:val="Listi"/>
      </w:pPr>
      <w:r>
        <w:t xml:space="preserve">there is an abnormal frequency island (as defined in the </w:t>
      </w:r>
      <w:r>
        <w:rPr>
          <w:i/>
        </w:rPr>
        <w:t>frequency operating standards</w:t>
      </w:r>
      <w:r>
        <w:t>)</w:t>
      </w:r>
      <w:r>
        <w:rPr>
          <w:i/>
        </w:rPr>
        <w:t xml:space="preserve"> </w:t>
      </w:r>
      <w:r>
        <w:t xml:space="preserve">within an area. </w:t>
      </w:r>
    </w:p>
    <w:p w14:paraId="58216709" w14:textId="5F13C414" w:rsidR="004554D7" w:rsidRDefault="004554D7" w:rsidP="004554D7">
      <w:pPr>
        <w:pStyle w:val="Lista"/>
      </w:pPr>
      <w:r>
        <w:t>The exclusions apply to all data for</w:t>
      </w:r>
      <w:r w:rsidR="00DB2DAA">
        <w:t xml:space="preserve"> </w:t>
      </w:r>
      <w:r>
        <w:t xml:space="preserve">the DI in question, regardless of the location or impact of the </w:t>
      </w:r>
      <w:r w:rsidRPr="004554D7">
        <w:rPr>
          <w:i/>
        </w:rPr>
        <w:t>contingency event</w:t>
      </w:r>
      <w:r>
        <w:t xml:space="preserve"> or corrupt data. For example, if a relevant </w:t>
      </w:r>
      <w:r>
        <w:rPr>
          <w:i/>
        </w:rPr>
        <w:t xml:space="preserve">contingency event </w:t>
      </w:r>
      <w:r>
        <w:t xml:space="preserve">occurs in Queensland, the Contribution Factors for all </w:t>
      </w:r>
      <w:r w:rsidRPr="004554D7">
        <w:rPr>
          <w:i/>
        </w:rPr>
        <w:t>regions</w:t>
      </w:r>
      <w:r>
        <w:t xml:space="preserve"> </w:t>
      </w:r>
      <w:r w:rsidR="00DB2DAA">
        <w:t>in th</w:t>
      </w:r>
      <w:r w:rsidR="00A02098">
        <w:t>e Mainland</w:t>
      </w:r>
      <w:r w:rsidR="00DB2DAA">
        <w:t xml:space="preserve"> area </w:t>
      </w:r>
      <w:r>
        <w:t xml:space="preserve">will exclude data for that period. This is done to reduce complexity in the calculation, and on the basis that the sample period is sufficiently large that this will not significantly affect the normalised Contribution Factors. </w:t>
      </w:r>
    </w:p>
    <w:p w14:paraId="445ED140" w14:textId="06811693" w:rsidR="004554D7" w:rsidRDefault="00C63E5F" w:rsidP="00C63E5F">
      <w:pPr>
        <w:pStyle w:val="Heading2"/>
      </w:pPr>
      <w:bookmarkStart w:id="54" w:name="_Toc508896712"/>
      <w:r w:rsidRPr="006C280E">
        <w:t>Aggregate</w:t>
      </w:r>
      <w:r>
        <w:t xml:space="preserve"> to 28-day Factors for a Unit or Load</w:t>
      </w:r>
      <w:bookmarkEnd w:id="54"/>
    </w:p>
    <w:p w14:paraId="214BA9E5" w14:textId="7A0F4E6C" w:rsidR="00C63E5F" w:rsidRDefault="00C63E5F" w:rsidP="00C63E5F">
      <w:pPr>
        <w:pStyle w:val="ResetPara"/>
      </w:pPr>
    </w:p>
    <w:p w14:paraId="51B0CADB" w14:textId="62C94DA6" w:rsidR="00C63E5F" w:rsidRDefault="00C63E5F" w:rsidP="00C63E5F">
      <w:pPr>
        <w:pStyle w:val="Lista"/>
      </w:pPr>
      <w:r>
        <w:t xml:space="preserve">At the end of the 28-day sample period, the remaining (non-excluded) 5-minute factors for each appropriately metered </w:t>
      </w:r>
      <w:r>
        <w:rPr>
          <w:i/>
        </w:rPr>
        <w:t>generating unit</w:t>
      </w:r>
      <w:r>
        <w:t xml:space="preserve"> and </w:t>
      </w:r>
      <w:r>
        <w:rPr>
          <w:i/>
        </w:rPr>
        <w:t>load</w:t>
      </w:r>
      <w:r>
        <w:t xml:space="preserve">, </w:t>
      </w:r>
      <w:r w:rsidRPr="00C63E5F">
        <w:rPr>
          <w:i/>
        </w:rPr>
        <w:t>region</w:t>
      </w:r>
      <w:r>
        <w:t xml:space="preserve"> and for each category are aggregated to produce a single 28-day factor. </w:t>
      </w:r>
    </w:p>
    <w:p w14:paraId="63052DCC" w14:textId="10BEA56E" w:rsidR="00C14BBE" w:rsidRDefault="00C63E5F" w:rsidP="00C63E5F">
      <w:pPr>
        <w:pStyle w:val="Lista"/>
      </w:pPr>
      <w:r>
        <w:t xml:space="preserve">At this point, any positive REF or LEF factors are set to zero. Although they represent helpful </w:t>
      </w:r>
      <w:r w:rsidRPr="00C63E5F">
        <w:rPr>
          <w:i/>
        </w:rPr>
        <w:t>frequency</w:t>
      </w:r>
      <w:r>
        <w:t xml:space="preserve"> support, the relevant </w:t>
      </w:r>
      <w:r>
        <w:rPr>
          <w:i/>
        </w:rPr>
        <w:t xml:space="preserve">ancillary service generating unit </w:t>
      </w:r>
      <w:r>
        <w:t xml:space="preserve">or </w:t>
      </w:r>
      <w:r>
        <w:rPr>
          <w:i/>
        </w:rPr>
        <w:t xml:space="preserve">load </w:t>
      </w:r>
      <w:r>
        <w:t xml:space="preserve">was </w:t>
      </w:r>
      <w:r w:rsidRPr="00C14BBE">
        <w:rPr>
          <w:i/>
        </w:rPr>
        <w:t>enabled</w:t>
      </w:r>
      <w:r>
        <w:t xml:space="preserve"> (and therefore compensated) for providing support during those periods</w:t>
      </w:r>
      <w:r w:rsidR="00667ED5">
        <w:t xml:space="preserve">. </w:t>
      </w:r>
      <w:r w:rsidR="00C14BBE">
        <w:t>The aggregation calculations are shown in Table 8.</w:t>
      </w:r>
    </w:p>
    <w:p w14:paraId="746F4903" w14:textId="79B85D30" w:rsidR="00C14BBE" w:rsidRDefault="00C14BBE" w:rsidP="00C14BBE">
      <w:pPr>
        <w:pStyle w:val="TableTitle"/>
      </w:pPr>
      <w:r>
        <w:lastRenderedPageBreak/>
        <w:t>Table 8</w:t>
      </w:r>
      <w:r>
        <w:tab/>
        <w:t>Aggregate to 28-day factors</w:t>
      </w:r>
    </w:p>
    <w:tbl>
      <w:tblPr>
        <w:tblStyle w:val="AEMOTable2"/>
        <w:tblW w:w="5462" w:type="pct"/>
        <w:tblLook w:val="0420" w:firstRow="1" w:lastRow="0" w:firstColumn="0" w:lastColumn="0" w:noHBand="0" w:noVBand="1"/>
      </w:tblPr>
      <w:tblGrid>
        <w:gridCol w:w="2779"/>
        <w:gridCol w:w="1814"/>
        <w:gridCol w:w="1814"/>
        <w:gridCol w:w="1814"/>
        <w:gridCol w:w="1812"/>
      </w:tblGrid>
      <w:tr w:rsidR="00C14BBE" w:rsidRPr="00C14BBE" w14:paraId="4D08F70A" w14:textId="77777777" w:rsidTr="005C1B6C">
        <w:trPr>
          <w:cnfStyle w:val="100000000000" w:firstRow="1" w:lastRow="0" w:firstColumn="0" w:lastColumn="0" w:oddVBand="0" w:evenVBand="0" w:oddHBand="0" w:evenHBand="0" w:firstRowFirstColumn="0" w:firstRowLastColumn="0" w:lastRowFirstColumn="0" w:lastRowLastColumn="0"/>
        </w:trPr>
        <w:tc>
          <w:tcPr>
            <w:tcW w:w="1385" w:type="pct"/>
            <w:vAlign w:val="center"/>
          </w:tcPr>
          <w:p w14:paraId="22D7645C" w14:textId="77777777" w:rsidR="00C14BBE" w:rsidRPr="00C14BBE" w:rsidRDefault="00C14BBE" w:rsidP="00C14BBE">
            <w:pPr>
              <w:keepNext/>
              <w:spacing w:after="160" w:line="259" w:lineRule="auto"/>
              <w:jc w:val="left"/>
              <w:rPr>
                <w:rFonts w:asciiTheme="minorHAnsi" w:eastAsiaTheme="minorHAnsi" w:hAnsiTheme="minorHAnsi" w:cstheme="minorBidi"/>
                <w:b w:val="0"/>
                <w:sz w:val="18"/>
                <w:szCs w:val="22"/>
              </w:rPr>
            </w:pPr>
            <w:r w:rsidRPr="00C14BBE">
              <w:rPr>
                <w:rFonts w:asciiTheme="minorHAnsi" w:eastAsiaTheme="minorHAnsi" w:hAnsiTheme="minorHAnsi" w:cstheme="minorBidi"/>
                <w:b w:val="0"/>
                <w:sz w:val="18"/>
                <w:szCs w:val="22"/>
              </w:rPr>
              <w:t>Component type</w:t>
            </w:r>
          </w:p>
        </w:tc>
        <w:tc>
          <w:tcPr>
            <w:tcW w:w="904" w:type="pct"/>
          </w:tcPr>
          <w:p w14:paraId="3C31D64B" w14:textId="77777777" w:rsidR="00C14BBE" w:rsidRPr="00C14BBE" w:rsidRDefault="00C14BBE" w:rsidP="00C14BBE">
            <w:pPr>
              <w:keepNext/>
              <w:spacing w:after="160" w:line="259" w:lineRule="auto"/>
              <w:jc w:val="center"/>
              <w:rPr>
                <w:rFonts w:asciiTheme="minorHAnsi" w:eastAsiaTheme="minorHAnsi" w:hAnsiTheme="minorHAnsi" w:cstheme="minorBidi"/>
                <w:b w:val="0"/>
                <w:sz w:val="18"/>
                <w:szCs w:val="22"/>
              </w:rPr>
            </w:pPr>
            <w:r w:rsidRPr="00C14BBE">
              <w:rPr>
                <w:rFonts w:asciiTheme="minorHAnsi" w:eastAsiaTheme="minorHAnsi" w:hAnsiTheme="minorHAnsi" w:cstheme="minorBidi"/>
                <w:b w:val="0"/>
                <w:sz w:val="18"/>
                <w:szCs w:val="22"/>
              </w:rPr>
              <w:t>Raise Required &amp; Enabled Factor</w:t>
            </w:r>
          </w:p>
        </w:tc>
        <w:tc>
          <w:tcPr>
            <w:tcW w:w="904" w:type="pct"/>
          </w:tcPr>
          <w:p w14:paraId="5EF6CFEA" w14:textId="77777777" w:rsidR="00C14BBE" w:rsidRPr="00C14BBE" w:rsidRDefault="00C14BBE" w:rsidP="00C14BBE">
            <w:pPr>
              <w:keepNext/>
              <w:spacing w:after="160" w:line="259" w:lineRule="auto"/>
              <w:jc w:val="center"/>
              <w:rPr>
                <w:rFonts w:asciiTheme="minorHAnsi" w:eastAsiaTheme="minorHAnsi" w:hAnsiTheme="minorHAnsi" w:cstheme="minorBidi"/>
                <w:b w:val="0"/>
                <w:sz w:val="18"/>
                <w:szCs w:val="22"/>
              </w:rPr>
            </w:pPr>
            <w:r w:rsidRPr="00C14BBE">
              <w:rPr>
                <w:rFonts w:asciiTheme="minorHAnsi" w:eastAsiaTheme="minorHAnsi" w:hAnsiTheme="minorHAnsi" w:cstheme="minorBidi"/>
                <w:b w:val="0"/>
                <w:sz w:val="18"/>
                <w:szCs w:val="22"/>
              </w:rPr>
              <w:t>Lower Required &amp; Enabled Factor</w:t>
            </w:r>
          </w:p>
        </w:tc>
        <w:tc>
          <w:tcPr>
            <w:tcW w:w="904" w:type="pct"/>
          </w:tcPr>
          <w:p w14:paraId="3D932797" w14:textId="77777777" w:rsidR="00C14BBE" w:rsidRPr="00C14BBE" w:rsidRDefault="00C14BBE" w:rsidP="00C14BBE">
            <w:pPr>
              <w:keepNext/>
              <w:spacing w:after="160" w:line="259" w:lineRule="auto"/>
              <w:jc w:val="center"/>
              <w:rPr>
                <w:rFonts w:asciiTheme="minorHAnsi" w:eastAsiaTheme="minorHAnsi" w:hAnsiTheme="minorHAnsi" w:cstheme="minorBidi"/>
                <w:b w:val="0"/>
                <w:sz w:val="18"/>
                <w:szCs w:val="22"/>
              </w:rPr>
            </w:pPr>
            <w:r w:rsidRPr="00C14BBE">
              <w:rPr>
                <w:rFonts w:asciiTheme="minorHAnsi" w:eastAsiaTheme="minorHAnsi" w:hAnsiTheme="minorHAnsi" w:cstheme="minorBidi"/>
                <w:b w:val="0"/>
                <w:sz w:val="18"/>
                <w:szCs w:val="22"/>
              </w:rPr>
              <w:t>Raise required &amp; not enabled Factor</w:t>
            </w:r>
          </w:p>
        </w:tc>
        <w:tc>
          <w:tcPr>
            <w:tcW w:w="903" w:type="pct"/>
          </w:tcPr>
          <w:p w14:paraId="51628EB1" w14:textId="77777777" w:rsidR="00C14BBE" w:rsidRPr="00C14BBE" w:rsidRDefault="00C14BBE" w:rsidP="00C14BBE">
            <w:pPr>
              <w:keepNext/>
              <w:spacing w:after="160" w:line="259" w:lineRule="auto"/>
              <w:jc w:val="center"/>
              <w:rPr>
                <w:rFonts w:asciiTheme="minorHAnsi" w:eastAsiaTheme="minorHAnsi" w:hAnsiTheme="minorHAnsi" w:cstheme="minorBidi"/>
                <w:b w:val="0"/>
                <w:sz w:val="18"/>
                <w:szCs w:val="22"/>
              </w:rPr>
            </w:pPr>
            <w:r w:rsidRPr="00C14BBE">
              <w:rPr>
                <w:rFonts w:asciiTheme="minorHAnsi" w:eastAsiaTheme="minorHAnsi" w:hAnsiTheme="minorHAnsi" w:cstheme="minorBidi"/>
                <w:b w:val="0"/>
                <w:sz w:val="18"/>
                <w:szCs w:val="22"/>
              </w:rPr>
              <w:t>Lower required &amp; not enabled Factor</w:t>
            </w:r>
          </w:p>
        </w:tc>
      </w:tr>
      <w:tr w:rsidR="00C14BBE" w:rsidRPr="00C14BBE" w14:paraId="5241D0EA" w14:textId="77777777" w:rsidTr="005C1B6C">
        <w:trPr>
          <w:cnfStyle w:val="000000100000" w:firstRow="0" w:lastRow="0" w:firstColumn="0" w:lastColumn="0" w:oddVBand="0" w:evenVBand="0" w:oddHBand="1" w:evenHBand="0" w:firstRowFirstColumn="0" w:firstRowLastColumn="0" w:lastRowFirstColumn="0" w:lastRowLastColumn="0"/>
        </w:trPr>
        <w:tc>
          <w:tcPr>
            <w:tcW w:w="1385" w:type="pct"/>
          </w:tcPr>
          <w:p w14:paraId="6BFA1332" w14:textId="77777777" w:rsidR="00C14BBE" w:rsidRPr="00C14BBE" w:rsidRDefault="00C14BBE" w:rsidP="00C14BBE">
            <w:pPr>
              <w:keepNext/>
              <w:spacing w:after="160" w:line="259" w:lineRule="auto"/>
              <w:jc w:val="left"/>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 xml:space="preserve">For each </w:t>
            </w:r>
            <w:r w:rsidRPr="00C14BBE">
              <w:rPr>
                <w:rFonts w:asciiTheme="minorHAnsi" w:eastAsiaTheme="minorHAnsi" w:hAnsiTheme="minorHAnsi" w:cstheme="minorBidi"/>
                <w:i/>
                <w:sz w:val="18"/>
                <w:szCs w:val="18"/>
              </w:rPr>
              <w:t>scheduled</w:t>
            </w:r>
            <w:r w:rsidRPr="00C14BBE">
              <w:rPr>
                <w:rFonts w:asciiTheme="minorHAnsi" w:eastAsiaTheme="minorHAnsi" w:hAnsiTheme="minorHAnsi" w:cstheme="minorBidi"/>
                <w:sz w:val="18"/>
                <w:szCs w:val="18"/>
              </w:rPr>
              <w:t xml:space="preserve"> and </w:t>
            </w:r>
            <w:r w:rsidRPr="00C14BBE">
              <w:rPr>
                <w:rFonts w:asciiTheme="minorHAnsi" w:eastAsiaTheme="minorHAnsi" w:hAnsiTheme="minorHAnsi" w:cstheme="minorBidi"/>
                <w:i/>
                <w:sz w:val="18"/>
                <w:szCs w:val="18"/>
              </w:rPr>
              <w:t>semi-scheduled generating unit</w:t>
            </w:r>
            <w:r w:rsidRPr="00C14BBE">
              <w:rPr>
                <w:rFonts w:asciiTheme="minorHAnsi" w:eastAsiaTheme="minorHAnsi" w:hAnsiTheme="minorHAnsi" w:cstheme="minorBidi"/>
                <w:sz w:val="18"/>
                <w:szCs w:val="18"/>
              </w:rPr>
              <w:t xml:space="preserve"> or </w:t>
            </w:r>
            <w:r w:rsidRPr="00C14BBE">
              <w:rPr>
                <w:rFonts w:asciiTheme="minorHAnsi" w:eastAsiaTheme="minorHAnsi" w:hAnsiTheme="minorHAnsi" w:cstheme="minorBidi"/>
                <w:i/>
                <w:sz w:val="18"/>
                <w:szCs w:val="18"/>
              </w:rPr>
              <w:t>scheduled load</w:t>
            </w:r>
            <w:r w:rsidRPr="00C14BBE">
              <w:rPr>
                <w:rFonts w:asciiTheme="minorHAnsi" w:eastAsiaTheme="minorHAnsi" w:hAnsiTheme="minorHAnsi" w:cstheme="minorBidi"/>
                <w:sz w:val="18"/>
                <w:szCs w:val="18"/>
              </w:rPr>
              <w:t>.</w:t>
            </w:r>
          </w:p>
        </w:tc>
        <w:tc>
          <w:tcPr>
            <w:tcW w:w="904" w:type="pct"/>
            <w:vAlign w:val="center"/>
          </w:tcPr>
          <w:p w14:paraId="73BF59D3" w14:textId="77777777" w:rsidR="00C14BBE" w:rsidRPr="00C14BBE" w:rsidRDefault="00AF71FC" w:rsidP="00C14BBE">
            <w:pPr>
              <w:keepNext/>
              <w:spacing w:after="160" w:line="259" w:lineRule="auto"/>
              <w:jc w:val="center"/>
              <w:rPr>
                <w:rFonts w:asciiTheme="minorHAnsi" w:eastAsiaTheme="minorHAnsi" w:hAnsiTheme="minorHAnsi" w:cstheme="minorBidi"/>
                <w:color w:val="C00000"/>
                <w:sz w:val="18"/>
                <w:szCs w:val="18"/>
                <w:vertAlign w:val="subscript"/>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REF</m:t>
                        </m:r>
                      </m:e>
                      <m:sub>
                        <m:r>
                          <w:rPr>
                            <w:rFonts w:ascii="Cambria Math" w:eastAsiaTheme="minorHAnsi" w:hAnsi="Cambria Math" w:cstheme="minorBidi"/>
                            <w:sz w:val="18"/>
                            <w:szCs w:val="18"/>
                          </w:rPr>
                          <m:t>SM</m:t>
                        </m:r>
                      </m:sub>
                    </m:sSub>
                  </m:e>
                </m:nary>
              </m:oMath>
            </m:oMathPara>
          </w:p>
          <w:p w14:paraId="0EE5ECD1" w14:textId="4D5399BA" w:rsidR="00C14BBE" w:rsidRPr="00C14BBE" w:rsidRDefault="00C14BBE" w:rsidP="00C14BBE">
            <w:pPr>
              <w:keepNext/>
              <w:spacing w:after="160" w:line="259" w:lineRule="auto"/>
              <w:jc w:val="center"/>
              <w:rPr>
                <w:rFonts w:asciiTheme="minorHAnsi" w:eastAsiaTheme="minorHAnsi" w:hAnsiTheme="minorHAnsi" w:cstheme="minorBidi"/>
                <w:sz w:val="18"/>
                <w:szCs w:val="18"/>
              </w:rPr>
            </w:pPr>
          </w:p>
        </w:tc>
        <w:tc>
          <w:tcPr>
            <w:tcW w:w="904" w:type="pct"/>
            <w:vAlign w:val="center"/>
          </w:tcPr>
          <w:p w14:paraId="25BAB677" w14:textId="77777777" w:rsidR="00C14BBE" w:rsidRPr="00C14BBE" w:rsidRDefault="00AF71FC" w:rsidP="00C14BBE">
            <w:pPr>
              <w:keepNext/>
              <w:spacing w:after="160" w:line="259" w:lineRule="auto"/>
              <w:jc w:val="center"/>
              <w:rPr>
                <w:rFonts w:asciiTheme="minorHAnsi" w:eastAsiaTheme="minorHAnsi" w:hAnsiTheme="minorHAnsi" w:cstheme="minorBidi"/>
                <w:color w:val="C00000"/>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LEF</m:t>
                        </m:r>
                      </m:e>
                      <m:sub>
                        <m:r>
                          <w:rPr>
                            <w:rFonts w:ascii="Cambria Math" w:eastAsiaTheme="minorHAnsi" w:hAnsi="Cambria Math" w:cstheme="minorBidi"/>
                            <w:sz w:val="18"/>
                            <w:szCs w:val="18"/>
                          </w:rPr>
                          <m:t>SM</m:t>
                        </m:r>
                      </m:sub>
                    </m:sSub>
                  </m:e>
                </m:nary>
              </m:oMath>
            </m:oMathPara>
          </w:p>
          <w:p w14:paraId="06F6B0FA" w14:textId="1B3D4F50" w:rsidR="00C14BBE" w:rsidRPr="00C14BBE" w:rsidRDefault="00C14BBE" w:rsidP="00C14BBE">
            <w:pPr>
              <w:keepNext/>
              <w:spacing w:after="160" w:line="259" w:lineRule="auto"/>
              <w:jc w:val="center"/>
              <w:rPr>
                <w:rFonts w:asciiTheme="minorHAnsi" w:eastAsiaTheme="minorHAnsi" w:hAnsiTheme="minorHAnsi" w:cstheme="minorBidi"/>
                <w:sz w:val="18"/>
                <w:szCs w:val="18"/>
              </w:rPr>
            </w:pPr>
          </w:p>
        </w:tc>
        <w:tc>
          <w:tcPr>
            <w:tcW w:w="904" w:type="pct"/>
            <w:vAlign w:val="center"/>
          </w:tcPr>
          <w:p w14:paraId="40F00DB5" w14:textId="77777777" w:rsidR="00C14BBE" w:rsidRPr="00C14BBE" w:rsidRDefault="00AF71FC" w:rsidP="00C14BBE">
            <w:pPr>
              <w:keepNext/>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SM</m:t>
                        </m:r>
                      </m:sub>
                    </m:sSub>
                  </m:e>
                </m:nary>
              </m:oMath>
            </m:oMathPara>
          </w:p>
        </w:tc>
        <w:tc>
          <w:tcPr>
            <w:tcW w:w="903" w:type="pct"/>
            <w:vAlign w:val="center"/>
          </w:tcPr>
          <w:p w14:paraId="544ABD02" w14:textId="77777777" w:rsidR="00C14BBE" w:rsidRPr="00C14BBE" w:rsidRDefault="00AF71FC" w:rsidP="00C14BBE">
            <w:pPr>
              <w:keepNext/>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SM</m:t>
                        </m:r>
                      </m:sub>
                    </m:sSub>
                  </m:e>
                </m:nary>
              </m:oMath>
            </m:oMathPara>
          </w:p>
        </w:tc>
      </w:tr>
      <w:tr w:rsidR="00C14BBE" w:rsidRPr="00C14BBE" w14:paraId="300FCDEB" w14:textId="77777777" w:rsidTr="005C1B6C">
        <w:trPr>
          <w:cnfStyle w:val="000000010000" w:firstRow="0" w:lastRow="0" w:firstColumn="0" w:lastColumn="0" w:oddVBand="0" w:evenVBand="0" w:oddHBand="0" w:evenHBand="1" w:firstRowFirstColumn="0" w:firstRowLastColumn="0" w:lastRowFirstColumn="0" w:lastRowLastColumn="0"/>
        </w:trPr>
        <w:tc>
          <w:tcPr>
            <w:tcW w:w="1385" w:type="pct"/>
          </w:tcPr>
          <w:p w14:paraId="41F87D05" w14:textId="77777777" w:rsidR="00C14BBE" w:rsidRPr="00C14BBE" w:rsidRDefault="00C14BBE" w:rsidP="00C14BBE">
            <w:pPr>
              <w:keepNext/>
              <w:spacing w:after="160" w:line="259" w:lineRule="auto"/>
              <w:jc w:val="left"/>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 xml:space="preserve">For each </w:t>
            </w:r>
            <w:r w:rsidRPr="00C14BBE">
              <w:rPr>
                <w:rFonts w:asciiTheme="minorHAnsi" w:eastAsiaTheme="minorHAnsi" w:hAnsiTheme="minorHAnsi" w:cstheme="minorBidi"/>
                <w:i/>
                <w:sz w:val="18"/>
                <w:szCs w:val="18"/>
              </w:rPr>
              <w:t>non-scheduled generating unit</w:t>
            </w:r>
            <w:r w:rsidRPr="00C14BBE">
              <w:rPr>
                <w:rFonts w:asciiTheme="minorHAnsi" w:eastAsiaTheme="minorHAnsi" w:hAnsiTheme="minorHAnsi" w:cstheme="minorBidi"/>
                <w:sz w:val="18"/>
                <w:szCs w:val="18"/>
              </w:rPr>
              <w:t xml:space="preserve"> or </w:t>
            </w:r>
            <w:r w:rsidRPr="00C14BBE">
              <w:rPr>
                <w:rFonts w:asciiTheme="minorHAnsi" w:eastAsiaTheme="minorHAnsi" w:hAnsiTheme="minorHAnsi" w:cstheme="minorBidi"/>
                <w:i/>
                <w:sz w:val="18"/>
                <w:szCs w:val="18"/>
              </w:rPr>
              <w:t>load</w:t>
            </w:r>
            <w:r w:rsidRPr="00C14BBE">
              <w:rPr>
                <w:rFonts w:asciiTheme="minorHAnsi" w:eastAsiaTheme="minorHAnsi" w:hAnsiTheme="minorHAnsi" w:cstheme="minorBidi"/>
                <w:sz w:val="18"/>
                <w:szCs w:val="18"/>
              </w:rPr>
              <w:t xml:space="preserve"> with appropriate metering.</w:t>
            </w:r>
          </w:p>
        </w:tc>
        <w:tc>
          <w:tcPr>
            <w:tcW w:w="904" w:type="pct"/>
            <w:vAlign w:val="center"/>
          </w:tcPr>
          <w:p w14:paraId="74E104C0" w14:textId="77777777" w:rsidR="00C14BBE" w:rsidRPr="00C14BBE" w:rsidRDefault="00AF71FC" w:rsidP="00C14BBE">
            <w:pPr>
              <w:keepNext/>
              <w:spacing w:after="160" w:line="259" w:lineRule="auto"/>
              <w:jc w:val="center"/>
              <w:rPr>
                <w:rFonts w:asciiTheme="minorHAnsi" w:eastAsiaTheme="minorHAnsi" w:hAnsiTheme="minorHAnsi" w:cstheme="minorBidi"/>
                <w:color w:val="C00000"/>
                <w:sz w:val="18"/>
                <w:szCs w:val="18"/>
                <w:vertAlign w:val="subscript"/>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REF</m:t>
                        </m:r>
                      </m:e>
                      <m:sub>
                        <m:r>
                          <w:rPr>
                            <w:rFonts w:ascii="Cambria Math" w:eastAsiaTheme="minorHAnsi" w:hAnsi="Cambria Math" w:cstheme="minorBidi"/>
                            <w:sz w:val="18"/>
                            <w:szCs w:val="18"/>
                          </w:rPr>
                          <m:t>NSM</m:t>
                        </m:r>
                      </m:sub>
                    </m:sSub>
                  </m:e>
                </m:nary>
              </m:oMath>
            </m:oMathPara>
          </w:p>
          <w:p w14:paraId="77803514" w14:textId="1A186244" w:rsidR="00C14BBE" w:rsidRPr="00C14BBE" w:rsidRDefault="00C14BBE" w:rsidP="00C14BBE">
            <w:pPr>
              <w:keepNext/>
              <w:spacing w:after="160" w:line="259" w:lineRule="auto"/>
              <w:jc w:val="center"/>
              <w:rPr>
                <w:rFonts w:asciiTheme="minorHAnsi" w:eastAsiaTheme="minorHAnsi" w:hAnsiTheme="minorHAnsi" w:cstheme="minorBidi"/>
                <w:sz w:val="18"/>
                <w:szCs w:val="18"/>
              </w:rPr>
            </w:pPr>
          </w:p>
        </w:tc>
        <w:tc>
          <w:tcPr>
            <w:tcW w:w="904" w:type="pct"/>
            <w:vAlign w:val="center"/>
          </w:tcPr>
          <w:p w14:paraId="0C813FDF" w14:textId="77777777" w:rsidR="00C14BBE" w:rsidRPr="00C14BBE" w:rsidRDefault="00AF71FC" w:rsidP="00C14BBE">
            <w:pPr>
              <w:keepNext/>
              <w:spacing w:after="160" w:line="259" w:lineRule="auto"/>
              <w:jc w:val="center"/>
              <w:rPr>
                <w:rFonts w:asciiTheme="minorHAnsi" w:eastAsiaTheme="minorHAnsi" w:hAnsiTheme="minorHAnsi" w:cstheme="minorBidi"/>
                <w:color w:val="C00000"/>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LEF</m:t>
                        </m:r>
                      </m:e>
                      <m:sub>
                        <m:r>
                          <w:rPr>
                            <w:rFonts w:ascii="Cambria Math" w:eastAsiaTheme="minorHAnsi" w:hAnsi="Cambria Math" w:cstheme="minorBidi"/>
                            <w:sz w:val="18"/>
                            <w:szCs w:val="18"/>
                          </w:rPr>
                          <m:t>NSM</m:t>
                        </m:r>
                      </m:sub>
                    </m:sSub>
                  </m:e>
                </m:nary>
              </m:oMath>
            </m:oMathPara>
          </w:p>
          <w:p w14:paraId="557C0E60" w14:textId="77C08E15" w:rsidR="00C14BBE" w:rsidRPr="00C14BBE" w:rsidRDefault="00C14BBE" w:rsidP="00C14BBE">
            <w:pPr>
              <w:keepNext/>
              <w:spacing w:after="160" w:line="259" w:lineRule="auto"/>
              <w:jc w:val="center"/>
              <w:rPr>
                <w:rFonts w:asciiTheme="minorHAnsi" w:eastAsiaTheme="minorHAnsi" w:hAnsiTheme="minorHAnsi" w:cstheme="minorBidi"/>
                <w:sz w:val="18"/>
                <w:szCs w:val="18"/>
              </w:rPr>
            </w:pPr>
          </w:p>
        </w:tc>
        <w:tc>
          <w:tcPr>
            <w:tcW w:w="904" w:type="pct"/>
            <w:vAlign w:val="center"/>
          </w:tcPr>
          <w:p w14:paraId="134053D7" w14:textId="77777777" w:rsidR="00C14BBE" w:rsidRPr="00C14BBE" w:rsidRDefault="00AF71FC" w:rsidP="00C14BBE">
            <w:pPr>
              <w:keepNext/>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NSM</m:t>
                        </m:r>
                      </m:sub>
                    </m:sSub>
                  </m:e>
                </m:nary>
              </m:oMath>
            </m:oMathPara>
          </w:p>
        </w:tc>
        <w:tc>
          <w:tcPr>
            <w:tcW w:w="903" w:type="pct"/>
            <w:vAlign w:val="center"/>
          </w:tcPr>
          <w:p w14:paraId="25DD2637" w14:textId="77777777" w:rsidR="00C14BBE" w:rsidRPr="00C14BBE" w:rsidRDefault="00AF71FC" w:rsidP="00C14BBE">
            <w:pPr>
              <w:keepNext/>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NSM</m:t>
                        </m:r>
                      </m:sub>
                    </m:sSub>
                  </m:e>
                </m:nary>
              </m:oMath>
            </m:oMathPara>
          </w:p>
        </w:tc>
      </w:tr>
      <w:tr w:rsidR="00C14BBE" w:rsidRPr="00C14BBE" w14:paraId="15A01260" w14:textId="77777777" w:rsidTr="005C1B6C">
        <w:trPr>
          <w:cnfStyle w:val="000000100000" w:firstRow="0" w:lastRow="0" w:firstColumn="0" w:lastColumn="0" w:oddVBand="0" w:evenVBand="0" w:oddHBand="1" w:evenHBand="0" w:firstRowFirstColumn="0" w:firstRowLastColumn="0" w:lastRowFirstColumn="0" w:lastRowLastColumn="0"/>
        </w:trPr>
        <w:tc>
          <w:tcPr>
            <w:tcW w:w="1385" w:type="pct"/>
          </w:tcPr>
          <w:p w14:paraId="695B8437" w14:textId="77777777" w:rsidR="00C14BBE" w:rsidRPr="00C14BBE" w:rsidRDefault="00C14BBE" w:rsidP="00C14BBE">
            <w:pPr>
              <w:keepNext/>
              <w:spacing w:after="160" w:line="259" w:lineRule="auto"/>
              <w:jc w:val="left"/>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 xml:space="preserve">For each </w:t>
            </w:r>
            <w:r w:rsidRPr="00C14BBE">
              <w:rPr>
                <w:rFonts w:asciiTheme="minorHAnsi" w:eastAsiaTheme="minorHAnsi" w:hAnsiTheme="minorHAnsi" w:cstheme="minorBidi"/>
                <w:i/>
                <w:sz w:val="18"/>
                <w:szCs w:val="18"/>
              </w:rPr>
              <w:t>region</w:t>
            </w:r>
            <w:r w:rsidRPr="00C14BBE">
              <w:rPr>
                <w:rFonts w:asciiTheme="minorHAnsi" w:eastAsiaTheme="minorHAnsi" w:hAnsiTheme="minorHAnsi" w:cstheme="minorBidi"/>
                <w:sz w:val="18"/>
                <w:szCs w:val="18"/>
              </w:rPr>
              <w:t>, representing the non-linearity of demand.</w:t>
            </w:r>
          </w:p>
        </w:tc>
        <w:tc>
          <w:tcPr>
            <w:tcW w:w="904" w:type="pct"/>
            <w:vAlign w:val="center"/>
          </w:tcPr>
          <w:p w14:paraId="76EC15A2" w14:textId="77777777" w:rsidR="00C14BBE" w:rsidRPr="00C14BBE" w:rsidRDefault="00C14BBE" w:rsidP="00C14BBE">
            <w:pPr>
              <w:keepNext/>
              <w:spacing w:after="160" w:line="259" w:lineRule="auto"/>
              <w:jc w:val="center"/>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w:t>
            </w:r>
          </w:p>
        </w:tc>
        <w:tc>
          <w:tcPr>
            <w:tcW w:w="904" w:type="pct"/>
            <w:vAlign w:val="center"/>
          </w:tcPr>
          <w:p w14:paraId="5A06D805" w14:textId="77777777" w:rsidR="00C14BBE" w:rsidRPr="00C14BBE" w:rsidRDefault="00C14BBE" w:rsidP="00C14BBE">
            <w:pPr>
              <w:keepNext/>
              <w:spacing w:after="160" w:line="259" w:lineRule="auto"/>
              <w:jc w:val="center"/>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w:t>
            </w:r>
          </w:p>
        </w:tc>
        <w:tc>
          <w:tcPr>
            <w:tcW w:w="904" w:type="pct"/>
            <w:vAlign w:val="center"/>
          </w:tcPr>
          <w:p w14:paraId="539A0E82" w14:textId="77777777" w:rsidR="00C14BBE" w:rsidRPr="00C14BBE" w:rsidRDefault="00AF71FC" w:rsidP="00C14BBE">
            <w:pPr>
              <w:keepNext/>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DG</m:t>
                        </m:r>
                      </m:sub>
                    </m:sSub>
                  </m:e>
                </m:nary>
              </m:oMath>
            </m:oMathPara>
          </w:p>
        </w:tc>
        <w:tc>
          <w:tcPr>
            <w:tcW w:w="903" w:type="pct"/>
            <w:vAlign w:val="center"/>
          </w:tcPr>
          <w:p w14:paraId="582B7122" w14:textId="77777777" w:rsidR="00C14BBE" w:rsidRPr="00C14BBE" w:rsidRDefault="00AF71FC" w:rsidP="00C14BBE">
            <w:pPr>
              <w:keepNext/>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DG</m:t>
                        </m:r>
                      </m:sub>
                    </m:sSub>
                  </m:e>
                </m:nary>
              </m:oMath>
            </m:oMathPara>
          </w:p>
        </w:tc>
      </w:tr>
      <w:tr w:rsidR="00C14BBE" w:rsidRPr="00C14BBE" w14:paraId="7CFFEB91" w14:textId="77777777" w:rsidTr="005C1B6C">
        <w:trPr>
          <w:cnfStyle w:val="000000010000" w:firstRow="0" w:lastRow="0" w:firstColumn="0" w:lastColumn="0" w:oddVBand="0" w:evenVBand="0" w:oddHBand="0" w:evenHBand="1" w:firstRowFirstColumn="0" w:firstRowLastColumn="0" w:lastRowFirstColumn="0" w:lastRowLastColumn="0"/>
        </w:trPr>
        <w:tc>
          <w:tcPr>
            <w:tcW w:w="1385" w:type="pct"/>
          </w:tcPr>
          <w:p w14:paraId="38EDAB5E" w14:textId="77777777" w:rsidR="00C14BBE" w:rsidRPr="00C14BBE" w:rsidRDefault="00C14BBE" w:rsidP="00C14BBE">
            <w:pPr>
              <w:spacing w:after="160" w:line="259" w:lineRule="auto"/>
              <w:jc w:val="left"/>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 xml:space="preserve">For each </w:t>
            </w:r>
            <w:r w:rsidRPr="00C14BBE">
              <w:rPr>
                <w:rFonts w:asciiTheme="minorHAnsi" w:eastAsiaTheme="minorHAnsi" w:hAnsiTheme="minorHAnsi" w:cstheme="minorBidi"/>
                <w:i/>
                <w:sz w:val="18"/>
                <w:szCs w:val="18"/>
              </w:rPr>
              <w:t>region</w:t>
            </w:r>
            <w:r w:rsidRPr="00C14BBE">
              <w:rPr>
                <w:rFonts w:asciiTheme="minorHAnsi" w:eastAsiaTheme="minorHAnsi" w:hAnsiTheme="minorHAnsi" w:cstheme="minorBidi"/>
                <w:sz w:val="18"/>
                <w:szCs w:val="18"/>
              </w:rPr>
              <w:t xml:space="preserve">, representing the demand forecasting error. </w:t>
            </w:r>
          </w:p>
        </w:tc>
        <w:tc>
          <w:tcPr>
            <w:tcW w:w="904" w:type="pct"/>
            <w:vAlign w:val="center"/>
          </w:tcPr>
          <w:p w14:paraId="10D3FB5C" w14:textId="77777777" w:rsidR="00C14BBE" w:rsidRPr="00C14BBE" w:rsidRDefault="00C14BBE" w:rsidP="00C14BBE">
            <w:pPr>
              <w:spacing w:after="160" w:line="259" w:lineRule="auto"/>
              <w:jc w:val="center"/>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w:t>
            </w:r>
          </w:p>
        </w:tc>
        <w:tc>
          <w:tcPr>
            <w:tcW w:w="904" w:type="pct"/>
            <w:vAlign w:val="center"/>
          </w:tcPr>
          <w:p w14:paraId="2F5EB377" w14:textId="77777777" w:rsidR="00C14BBE" w:rsidRPr="00C14BBE" w:rsidRDefault="00C14BBE" w:rsidP="00C14BBE">
            <w:pPr>
              <w:spacing w:after="160" w:line="259" w:lineRule="auto"/>
              <w:jc w:val="center"/>
              <w:rPr>
                <w:rFonts w:asciiTheme="minorHAnsi" w:eastAsiaTheme="minorHAnsi" w:hAnsiTheme="minorHAnsi" w:cstheme="minorBidi"/>
                <w:sz w:val="18"/>
                <w:szCs w:val="18"/>
              </w:rPr>
            </w:pPr>
            <w:r w:rsidRPr="00C14BBE">
              <w:rPr>
                <w:rFonts w:asciiTheme="minorHAnsi" w:eastAsiaTheme="minorHAnsi" w:hAnsiTheme="minorHAnsi" w:cstheme="minorBidi"/>
                <w:sz w:val="18"/>
                <w:szCs w:val="18"/>
              </w:rPr>
              <w:t>-</w:t>
            </w:r>
          </w:p>
        </w:tc>
        <w:tc>
          <w:tcPr>
            <w:tcW w:w="904" w:type="pct"/>
            <w:vAlign w:val="center"/>
          </w:tcPr>
          <w:p w14:paraId="5F17BB2A" w14:textId="77777777" w:rsidR="00C14BBE" w:rsidRPr="00C14BBE" w:rsidRDefault="00AF71FC" w:rsidP="00C14BBE">
            <w:pPr>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FE</m:t>
                        </m:r>
                      </m:sub>
                    </m:sSub>
                  </m:e>
                </m:nary>
              </m:oMath>
            </m:oMathPara>
          </w:p>
        </w:tc>
        <w:tc>
          <w:tcPr>
            <w:tcW w:w="903" w:type="pct"/>
            <w:vAlign w:val="center"/>
          </w:tcPr>
          <w:p w14:paraId="2C74196B" w14:textId="77777777" w:rsidR="00C14BBE" w:rsidRPr="00C14BBE" w:rsidRDefault="00AF71FC" w:rsidP="00C14BBE">
            <w:pPr>
              <w:spacing w:after="160" w:line="259" w:lineRule="auto"/>
              <w:jc w:val="center"/>
              <w:rPr>
                <w:rFonts w:asciiTheme="minorHAnsi" w:eastAsiaTheme="minorHAnsi" w:hAnsiTheme="minorHAnsi" w:cstheme="minorBidi"/>
                <w:sz w:val="18"/>
                <w:szCs w:val="18"/>
              </w:rPr>
            </w:pPr>
            <m:oMathPara>
              <m:oMath>
                <m:nary>
                  <m:naryPr>
                    <m:chr m:val="∑"/>
                    <m:limLoc m:val="undOvr"/>
                    <m:supHide m:val="1"/>
                    <m:ctrlPr>
                      <w:rPr>
                        <w:rFonts w:ascii="Cambria Math" w:eastAsiaTheme="minorHAnsi" w:hAnsi="Cambria Math" w:cstheme="minorBidi"/>
                        <w:i/>
                        <w:sz w:val="18"/>
                        <w:szCs w:val="18"/>
                      </w:rPr>
                    </m:ctrlPr>
                  </m:naryPr>
                  <m:sub>
                    <m:r>
                      <w:rPr>
                        <w:rFonts w:ascii="Cambria Math" w:eastAsiaTheme="minorHAnsi" w:hAnsi="Cambria Math" w:cstheme="minorBidi"/>
                        <w:sz w:val="18"/>
                        <w:szCs w:val="18"/>
                      </w:rPr>
                      <m:t>28 day</m:t>
                    </m:r>
                  </m:sub>
                  <m:sup/>
                  <m:e>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FE</m:t>
                        </m:r>
                      </m:sub>
                    </m:sSub>
                  </m:e>
                </m:nary>
              </m:oMath>
            </m:oMathPara>
          </w:p>
        </w:tc>
      </w:tr>
    </w:tbl>
    <w:p w14:paraId="30DBE403" w14:textId="77777777" w:rsidR="00C14BBE" w:rsidRPr="00C63E5F" w:rsidRDefault="00C14BBE" w:rsidP="00C14BBE">
      <w:pPr>
        <w:pStyle w:val="TableTitle"/>
      </w:pPr>
    </w:p>
    <w:p w14:paraId="447AADCA" w14:textId="27A0146C" w:rsidR="00E25DC9" w:rsidRDefault="00C63E5F" w:rsidP="00947025">
      <w:pPr>
        <w:pStyle w:val="Heading1"/>
      </w:pPr>
      <w:bookmarkStart w:id="55" w:name="_Toc508896713"/>
      <w:bookmarkStart w:id="56" w:name="_Ref475090783"/>
      <w:bookmarkStart w:id="57" w:name="_Ref475091246"/>
      <w:bookmarkStart w:id="58" w:name="_Toc475110443"/>
      <w:bookmarkStart w:id="59" w:name="_Toc504643171"/>
      <w:r>
        <w:t xml:space="preserve">Global </w:t>
      </w:r>
      <w:r w:rsidR="009E3B39">
        <w:t xml:space="preserve">REQUIREMENT </w:t>
      </w:r>
      <w:r>
        <w:t>Contribution Factors</w:t>
      </w:r>
      <w:bookmarkEnd w:id="55"/>
      <w:r>
        <w:t xml:space="preserve"> </w:t>
      </w:r>
      <w:bookmarkEnd w:id="56"/>
      <w:bookmarkEnd w:id="57"/>
      <w:bookmarkEnd w:id="58"/>
      <w:bookmarkEnd w:id="59"/>
    </w:p>
    <w:p w14:paraId="18F845CC" w14:textId="0B8DD505" w:rsidR="000C0356" w:rsidRDefault="000C0356" w:rsidP="000C0356">
      <w:pPr>
        <w:pStyle w:val="ResetPara"/>
      </w:pPr>
    </w:p>
    <w:p w14:paraId="5931AB6E" w14:textId="29370401" w:rsidR="004A6FE6" w:rsidRDefault="004A6FE6" w:rsidP="004A6FE6">
      <w:pPr>
        <w:pStyle w:val="Heading2"/>
      </w:pPr>
      <w:bookmarkStart w:id="60" w:name="_Toc508896714"/>
      <w:r>
        <w:t>General</w:t>
      </w:r>
      <w:bookmarkEnd w:id="60"/>
    </w:p>
    <w:p w14:paraId="5B31C4C8" w14:textId="45887984" w:rsidR="000C0356" w:rsidRDefault="000C0356" w:rsidP="004A6FE6">
      <w:pPr>
        <w:pStyle w:val="TxtFlw0"/>
      </w:pPr>
      <w:r>
        <w:t xml:space="preserve">This </w:t>
      </w:r>
      <w:r w:rsidR="004220A7">
        <w:t>clause</w:t>
      </w:r>
      <w:r>
        <w:t xml:space="preserve"> describes the process for determining </w:t>
      </w:r>
      <w:r w:rsidR="00E7742A">
        <w:rPr>
          <w:i/>
        </w:rPr>
        <w:t xml:space="preserve">Market Participant </w:t>
      </w:r>
      <w:r w:rsidR="009E3B39">
        <w:t>Contribution F</w:t>
      </w:r>
      <w:r>
        <w:t xml:space="preserve">actors for the </w:t>
      </w:r>
      <w:r w:rsidR="00E7742A">
        <w:t xml:space="preserve">purposes of NER clause 3.15.6A(j)(1), to be applied in the recovery of costs for </w:t>
      </w:r>
      <w:r w:rsidR="00E7742A">
        <w:rPr>
          <w:i/>
        </w:rPr>
        <w:t>global market ancillary service requirements</w:t>
      </w:r>
      <w:r w:rsidR="00456161">
        <w:rPr>
          <w:i/>
        </w:rPr>
        <w:t xml:space="preserve"> </w:t>
      </w:r>
      <w:r w:rsidR="00456161">
        <w:t>for Regulation FCAS</w:t>
      </w:r>
      <w:r w:rsidR="00E7742A">
        <w:rPr>
          <w:i/>
        </w:rPr>
        <w:t>.</w:t>
      </w:r>
    </w:p>
    <w:p w14:paraId="31A4F692" w14:textId="628B43FF" w:rsidR="00E7742A" w:rsidRDefault="004427F9" w:rsidP="004427F9">
      <w:pPr>
        <w:pStyle w:val="Heading2"/>
      </w:pPr>
      <w:bookmarkStart w:id="61" w:name="_Toc475110445"/>
      <w:bookmarkStart w:id="62" w:name="_Toc504643173"/>
      <w:bookmarkStart w:id="63" w:name="_Toc508896715"/>
      <w:r w:rsidRPr="006C280E">
        <w:t>Aggregate</w:t>
      </w:r>
      <w:r>
        <w:t xml:space="preserve"> Unit or Load Factors into </w:t>
      </w:r>
      <w:r w:rsidR="00EB272D">
        <w:t xml:space="preserve">Area </w:t>
      </w:r>
      <w:r>
        <w:t>Portfolio Factors</w:t>
      </w:r>
      <w:bookmarkEnd w:id="61"/>
      <w:bookmarkEnd w:id="62"/>
      <w:bookmarkEnd w:id="63"/>
    </w:p>
    <w:p w14:paraId="13C5B2FE" w14:textId="194C35E7" w:rsidR="004427F9" w:rsidRDefault="004427F9" w:rsidP="004427F9">
      <w:pPr>
        <w:pStyle w:val="ResetPara"/>
      </w:pPr>
    </w:p>
    <w:p w14:paraId="7CA56A8F" w14:textId="23614A8D" w:rsidR="004427F9" w:rsidRPr="004427F9" w:rsidRDefault="004427F9" w:rsidP="004427F9">
      <w:pPr>
        <w:pStyle w:val="Lista"/>
      </w:pPr>
      <w:r w:rsidRPr="008E4E21">
        <w:rPr>
          <w:szCs w:val="20"/>
        </w:rPr>
        <w:t xml:space="preserve">The 28-day factors calculated in </w:t>
      </w:r>
      <w:r w:rsidR="004220A7">
        <w:rPr>
          <w:szCs w:val="20"/>
        </w:rPr>
        <w:t>clause</w:t>
      </w:r>
      <w:r w:rsidRPr="008E4E21">
        <w:rPr>
          <w:szCs w:val="20"/>
        </w:rPr>
        <w:t xml:space="preserve"> </w:t>
      </w:r>
      <w:r w:rsidRPr="008E4E21">
        <w:rPr>
          <w:szCs w:val="20"/>
        </w:rPr>
        <w:fldChar w:fldCharType="begin"/>
      </w:r>
      <w:r w:rsidRPr="008E4E21">
        <w:rPr>
          <w:szCs w:val="20"/>
        </w:rPr>
        <w:instrText xml:space="preserve"> REF _Ref475091246 \r \h </w:instrText>
      </w:r>
      <w:r>
        <w:rPr>
          <w:szCs w:val="20"/>
        </w:rPr>
        <w:instrText xml:space="preserve"> \* MERGEFORMAT </w:instrText>
      </w:r>
      <w:r w:rsidRPr="008E4E21">
        <w:rPr>
          <w:szCs w:val="20"/>
        </w:rPr>
      </w:r>
      <w:r w:rsidRPr="008E4E21">
        <w:rPr>
          <w:szCs w:val="20"/>
        </w:rPr>
        <w:fldChar w:fldCharType="separate"/>
      </w:r>
      <w:r w:rsidR="003E2BF7">
        <w:rPr>
          <w:szCs w:val="20"/>
        </w:rPr>
        <w:t>7</w:t>
      </w:r>
      <w:r w:rsidRPr="008E4E21">
        <w:rPr>
          <w:szCs w:val="20"/>
        </w:rPr>
        <w:fldChar w:fldCharType="end"/>
      </w:r>
      <w:r w:rsidR="00AB03B8">
        <w:rPr>
          <w:szCs w:val="20"/>
        </w:rPr>
        <w:t xml:space="preserve"> for </w:t>
      </w:r>
      <w:r w:rsidR="00415723">
        <w:rPr>
          <w:szCs w:val="20"/>
        </w:rPr>
        <w:t xml:space="preserve">appropriately metered </w:t>
      </w:r>
      <w:r w:rsidR="00415723">
        <w:rPr>
          <w:i/>
          <w:szCs w:val="20"/>
        </w:rPr>
        <w:t xml:space="preserve">market generating units </w:t>
      </w:r>
      <w:r w:rsidR="00415723">
        <w:rPr>
          <w:szCs w:val="20"/>
        </w:rPr>
        <w:t xml:space="preserve">and </w:t>
      </w:r>
      <w:r w:rsidR="00415723">
        <w:rPr>
          <w:i/>
          <w:szCs w:val="20"/>
        </w:rPr>
        <w:t>loads</w:t>
      </w:r>
      <w:r w:rsidR="00EB272D">
        <w:rPr>
          <w:szCs w:val="20"/>
        </w:rPr>
        <w:t xml:space="preserve"> </w:t>
      </w:r>
      <w:r w:rsidRPr="008E4E21">
        <w:rPr>
          <w:szCs w:val="20"/>
        </w:rPr>
        <w:t xml:space="preserve">are aggregated </w:t>
      </w:r>
      <w:r>
        <w:rPr>
          <w:szCs w:val="20"/>
        </w:rPr>
        <w:t>at a portfolio level</w:t>
      </w:r>
      <w:r w:rsidRPr="008E4E21">
        <w:rPr>
          <w:szCs w:val="20"/>
        </w:rPr>
        <w:t xml:space="preserve"> for</w:t>
      </w:r>
      <w:r>
        <w:rPr>
          <w:szCs w:val="20"/>
        </w:rPr>
        <w:t xml:space="preserve"> a given </w:t>
      </w:r>
      <w:r>
        <w:rPr>
          <w:i/>
          <w:szCs w:val="20"/>
        </w:rPr>
        <w:t xml:space="preserve">Market Participant </w:t>
      </w:r>
      <w:r>
        <w:rPr>
          <w:szCs w:val="20"/>
        </w:rPr>
        <w:t xml:space="preserve">to produce ‘portfolio factors’, </w:t>
      </w:r>
      <w:r w:rsidRPr="008E4E21">
        <w:rPr>
          <w:szCs w:val="20"/>
        </w:rPr>
        <w:t>using the equations described in</w:t>
      </w:r>
      <w:r w:rsidR="00415723">
        <w:rPr>
          <w:szCs w:val="20"/>
        </w:rPr>
        <w:t xml:space="preserve"> Table 9</w:t>
      </w:r>
      <w:r>
        <w:rPr>
          <w:szCs w:val="20"/>
        </w:rPr>
        <w:t>.</w:t>
      </w:r>
    </w:p>
    <w:p w14:paraId="55EDF160" w14:textId="7D62C25A" w:rsidR="004427F9" w:rsidRDefault="004427F9" w:rsidP="004427F9">
      <w:pPr>
        <w:pStyle w:val="ParaFlw1"/>
        <w:rPr>
          <w:sz w:val="16"/>
          <w:szCs w:val="20"/>
        </w:rPr>
      </w:pPr>
      <w:r w:rsidRPr="004427F9">
        <w:rPr>
          <w:b/>
          <w:sz w:val="16"/>
        </w:rPr>
        <w:t xml:space="preserve">Note: </w:t>
      </w:r>
      <w:r w:rsidRPr="004427F9">
        <w:rPr>
          <w:sz w:val="16"/>
        </w:rPr>
        <w:t xml:space="preserve">This </w:t>
      </w:r>
      <w:r w:rsidRPr="004427F9">
        <w:rPr>
          <w:sz w:val="16"/>
          <w:szCs w:val="20"/>
        </w:rPr>
        <w:t>allows positive performance from one unit or load within a portfolio to offset negative performance from other units or loads within the same portfolio.</w:t>
      </w:r>
    </w:p>
    <w:p w14:paraId="50C702BC" w14:textId="55FDB467" w:rsidR="00415723" w:rsidRDefault="00415723" w:rsidP="00415723">
      <w:pPr>
        <w:pStyle w:val="ParaFlw1"/>
        <w:rPr>
          <w:sz w:val="16"/>
        </w:rPr>
      </w:pPr>
      <w:r w:rsidRPr="004427F9">
        <w:rPr>
          <w:b/>
          <w:sz w:val="16"/>
        </w:rPr>
        <w:t xml:space="preserve">Note: </w:t>
      </w:r>
      <w:r w:rsidRPr="004427F9">
        <w:rPr>
          <w:sz w:val="16"/>
        </w:rPr>
        <w:t>Th</w:t>
      </w:r>
      <w:r>
        <w:rPr>
          <w:sz w:val="16"/>
        </w:rPr>
        <w:t xml:space="preserve">e 28-day factors for </w:t>
      </w:r>
      <w:r w:rsidR="00EB272D">
        <w:rPr>
          <w:i/>
          <w:sz w:val="16"/>
        </w:rPr>
        <w:t xml:space="preserve">regional </w:t>
      </w:r>
      <w:r>
        <w:rPr>
          <w:sz w:val="16"/>
        </w:rPr>
        <w:t xml:space="preserve">demand </w:t>
      </w:r>
      <w:r w:rsidR="00EB272D">
        <w:rPr>
          <w:sz w:val="16"/>
        </w:rPr>
        <w:t>are not further aggregated</w:t>
      </w:r>
      <w:r>
        <w:rPr>
          <w:sz w:val="16"/>
        </w:rPr>
        <w:t xml:space="preserve">. </w:t>
      </w:r>
    </w:p>
    <w:p w14:paraId="00FEC5C4" w14:textId="246F5788" w:rsidR="00CE59E3" w:rsidRDefault="00CE59E3" w:rsidP="00CE59E3">
      <w:pPr>
        <w:pStyle w:val="Lista"/>
      </w:pPr>
      <w:r>
        <w:t xml:space="preserve">At this step, </w:t>
      </w:r>
      <w:r>
        <w:rPr>
          <w:i/>
        </w:rPr>
        <w:t xml:space="preserve">Market Participant </w:t>
      </w:r>
      <w:r>
        <w:t>portfolio factors are calculated separately for appropriately metered:</w:t>
      </w:r>
    </w:p>
    <w:p w14:paraId="48CFB199" w14:textId="6AE7C980" w:rsidR="00CE59E3" w:rsidRDefault="00CE59E3" w:rsidP="00CE59E3">
      <w:pPr>
        <w:pStyle w:val="Listi"/>
      </w:pPr>
      <w:r>
        <w:rPr>
          <w:i/>
        </w:rPr>
        <w:t>scheduled</w:t>
      </w:r>
      <w:r>
        <w:t xml:space="preserve"> and </w:t>
      </w:r>
      <w:r>
        <w:rPr>
          <w:i/>
        </w:rPr>
        <w:t xml:space="preserve">semi-scheduled generating units </w:t>
      </w:r>
      <w:r>
        <w:t xml:space="preserve">and </w:t>
      </w:r>
      <w:r>
        <w:rPr>
          <w:i/>
        </w:rPr>
        <w:t xml:space="preserve">scheduled loads </w:t>
      </w:r>
      <w:r>
        <w:t xml:space="preserve">in </w:t>
      </w:r>
      <w:r w:rsidR="001A1714">
        <w:t>each area</w:t>
      </w:r>
      <w:r>
        <w:t>;</w:t>
      </w:r>
      <w:r w:rsidR="001A1714">
        <w:t xml:space="preserve"> and</w:t>
      </w:r>
    </w:p>
    <w:p w14:paraId="3506BD59" w14:textId="4E2F93A6" w:rsidR="00CE59E3" w:rsidRDefault="00CE59E3" w:rsidP="00CE59E3">
      <w:pPr>
        <w:pStyle w:val="Listi"/>
      </w:pPr>
      <w:r>
        <w:rPr>
          <w:i/>
        </w:rPr>
        <w:t xml:space="preserve">non-scheduled generating units </w:t>
      </w:r>
      <w:r>
        <w:t xml:space="preserve">and </w:t>
      </w:r>
      <w:r>
        <w:rPr>
          <w:i/>
        </w:rPr>
        <w:t xml:space="preserve">loads </w:t>
      </w:r>
      <w:r>
        <w:t xml:space="preserve">in </w:t>
      </w:r>
      <w:r w:rsidR="001A1714">
        <w:t>each area.</w:t>
      </w:r>
    </w:p>
    <w:p w14:paraId="532A1EB8" w14:textId="6DB77B42" w:rsidR="00A84FC9" w:rsidRPr="00A84FC9" w:rsidRDefault="00843939" w:rsidP="004427F9">
      <w:pPr>
        <w:pStyle w:val="Lista"/>
      </w:pPr>
      <w:r>
        <w:t xml:space="preserve">At this point, any positive REF or LEF factors are set to zero. Although they represent helpful </w:t>
      </w:r>
      <w:r w:rsidRPr="00C63E5F">
        <w:rPr>
          <w:i/>
        </w:rPr>
        <w:t>frequency</w:t>
      </w:r>
      <w:r>
        <w:t xml:space="preserve"> support, the relevant </w:t>
      </w:r>
      <w:r>
        <w:rPr>
          <w:i/>
        </w:rPr>
        <w:t xml:space="preserve">ancillary service generating unit </w:t>
      </w:r>
      <w:r>
        <w:t xml:space="preserve">or </w:t>
      </w:r>
      <w:r>
        <w:rPr>
          <w:i/>
        </w:rPr>
        <w:t xml:space="preserve">load </w:t>
      </w:r>
      <w:r>
        <w:t xml:space="preserve">was </w:t>
      </w:r>
      <w:r w:rsidRPr="00C14BBE">
        <w:rPr>
          <w:i/>
        </w:rPr>
        <w:t>enabled</w:t>
      </w:r>
      <w:r>
        <w:t xml:space="preserve"> (and therefore compensated) for providing support during those periods</w:t>
      </w:r>
      <w:r w:rsidR="00C4146D">
        <w:t>.</w:t>
      </w:r>
    </w:p>
    <w:p w14:paraId="1BBCA9D9" w14:textId="7660F105" w:rsidR="004427F9" w:rsidRPr="00A601AC" w:rsidRDefault="00A601AC" w:rsidP="004427F9">
      <w:pPr>
        <w:pStyle w:val="Lista"/>
      </w:pPr>
      <w:r>
        <w:rPr>
          <w:szCs w:val="20"/>
        </w:rPr>
        <w:t xml:space="preserve">A positive </w:t>
      </w:r>
      <w:r w:rsidR="00EB272D">
        <w:rPr>
          <w:szCs w:val="20"/>
        </w:rPr>
        <w:t>area</w:t>
      </w:r>
      <w:r w:rsidR="004427F9" w:rsidRPr="008E4E21">
        <w:rPr>
          <w:szCs w:val="20"/>
        </w:rPr>
        <w:t xml:space="preserve"> portfolio factor </w:t>
      </w:r>
      <w:r>
        <w:rPr>
          <w:szCs w:val="20"/>
        </w:rPr>
        <w:t xml:space="preserve">for a </w:t>
      </w:r>
      <w:r>
        <w:rPr>
          <w:i/>
          <w:szCs w:val="20"/>
        </w:rPr>
        <w:t xml:space="preserve">Market Participant </w:t>
      </w:r>
      <w:r>
        <w:rPr>
          <w:szCs w:val="20"/>
        </w:rPr>
        <w:t>indicates the</w:t>
      </w:r>
      <w:r w:rsidR="004427F9" w:rsidRPr="008E4E21">
        <w:rPr>
          <w:szCs w:val="20"/>
        </w:rPr>
        <w:t xml:space="preserve"> </w:t>
      </w:r>
      <w:r w:rsidR="00CE59E3">
        <w:rPr>
          <w:szCs w:val="20"/>
        </w:rPr>
        <w:t xml:space="preserve">relevant </w:t>
      </w:r>
      <w:r w:rsidR="004427F9" w:rsidRPr="008E4E21">
        <w:rPr>
          <w:szCs w:val="20"/>
        </w:rPr>
        <w:t>portfolio had a net</w:t>
      </w:r>
      <w:r>
        <w:rPr>
          <w:szCs w:val="20"/>
        </w:rPr>
        <w:t xml:space="preserve"> </w:t>
      </w:r>
      <w:r w:rsidR="004427F9" w:rsidRPr="008E4E21">
        <w:rPr>
          <w:szCs w:val="20"/>
        </w:rPr>
        <w:t xml:space="preserve">positive impact on </w:t>
      </w:r>
      <w:r w:rsidR="004427F9" w:rsidRPr="00A601AC">
        <w:rPr>
          <w:i/>
          <w:szCs w:val="20"/>
        </w:rPr>
        <w:t xml:space="preserve">frequency </w:t>
      </w:r>
      <w:r w:rsidR="004427F9" w:rsidRPr="008E4E21">
        <w:rPr>
          <w:szCs w:val="20"/>
        </w:rPr>
        <w:t>c</w:t>
      </w:r>
      <w:r>
        <w:rPr>
          <w:szCs w:val="20"/>
        </w:rPr>
        <w:t>ontrol during the 28-day period</w:t>
      </w:r>
      <w:r w:rsidR="004427F9" w:rsidRPr="008E4E21">
        <w:rPr>
          <w:szCs w:val="20"/>
        </w:rPr>
        <w:t xml:space="preserve">, </w:t>
      </w:r>
      <w:r>
        <w:rPr>
          <w:szCs w:val="20"/>
        </w:rPr>
        <w:t xml:space="preserve">and is set to zero so that the relevant </w:t>
      </w:r>
      <w:r>
        <w:rPr>
          <w:i/>
          <w:szCs w:val="20"/>
        </w:rPr>
        <w:t xml:space="preserve">Market Participant </w:t>
      </w:r>
      <w:r>
        <w:rPr>
          <w:szCs w:val="20"/>
        </w:rPr>
        <w:t xml:space="preserve">makes no contribution to the costs for </w:t>
      </w:r>
      <w:r>
        <w:rPr>
          <w:i/>
          <w:szCs w:val="20"/>
        </w:rPr>
        <w:t>global market ancillary service requirements</w:t>
      </w:r>
      <w:r>
        <w:rPr>
          <w:szCs w:val="20"/>
        </w:rPr>
        <w:t>.</w:t>
      </w:r>
    </w:p>
    <w:p w14:paraId="728094C1" w14:textId="597E865B" w:rsidR="00A601AC" w:rsidRPr="00A601AC" w:rsidRDefault="00A601AC" w:rsidP="004427F9">
      <w:pPr>
        <w:pStyle w:val="Lista"/>
      </w:pPr>
      <w:r>
        <w:rPr>
          <w:szCs w:val="20"/>
        </w:rPr>
        <w:t xml:space="preserve">Accordingly, final </w:t>
      </w:r>
      <w:r w:rsidR="00EB272D">
        <w:rPr>
          <w:szCs w:val="20"/>
        </w:rPr>
        <w:t xml:space="preserve">area </w:t>
      </w:r>
      <w:r>
        <w:rPr>
          <w:szCs w:val="20"/>
        </w:rPr>
        <w:t>portfolio factors will be:</w:t>
      </w:r>
    </w:p>
    <w:p w14:paraId="26A5D741" w14:textId="6434EE12" w:rsidR="00A601AC" w:rsidRDefault="00A601AC" w:rsidP="00A601AC">
      <w:pPr>
        <w:pStyle w:val="Listi"/>
      </w:pPr>
      <w:r>
        <w:t>n</w:t>
      </w:r>
      <w:r w:rsidRPr="008E4E21">
        <w:t xml:space="preserve">egative for </w:t>
      </w:r>
      <w:r>
        <w:rPr>
          <w:i/>
        </w:rPr>
        <w:t xml:space="preserve">Market Participants </w:t>
      </w:r>
      <w:r>
        <w:t xml:space="preserve">whose appropriately metered </w:t>
      </w:r>
      <w:r>
        <w:rPr>
          <w:i/>
        </w:rPr>
        <w:t xml:space="preserve">generating units </w:t>
      </w:r>
      <w:r>
        <w:t xml:space="preserve">and </w:t>
      </w:r>
      <w:r>
        <w:rPr>
          <w:i/>
        </w:rPr>
        <w:t>loads</w:t>
      </w:r>
      <w:r w:rsidR="00CE59E3">
        <w:rPr>
          <w:i/>
        </w:rPr>
        <w:t xml:space="preserve"> </w:t>
      </w:r>
      <w:r w:rsidR="00CE59E3">
        <w:t>within the relevant category and area</w:t>
      </w:r>
      <w:r>
        <w:rPr>
          <w:i/>
        </w:rPr>
        <w:t xml:space="preserve"> </w:t>
      </w:r>
      <w:r w:rsidR="00415723">
        <w:t xml:space="preserve">(on a net aggregate basis) </w:t>
      </w:r>
      <w:r>
        <w:t>contributed to the need for Regulation FCAS</w:t>
      </w:r>
      <w:r w:rsidR="00415723">
        <w:t xml:space="preserve"> in the 28-day period</w:t>
      </w:r>
      <w:r>
        <w:t>; and</w:t>
      </w:r>
    </w:p>
    <w:p w14:paraId="6FEA581F" w14:textId="12DC1DF7" w:rsidR="00A601AC" w:rsidRDefault="00A601AC" w:rsidP="00A601AC">
      <w:pPr>
        <w:pStyle w:val="Listi"/>
      </w:pPr>
      <w:r w:rsidRPr="008E4E21">
        <w:lastRenderedPageBreak/>
        <w:t xml:space="preserve">zero for </w:t>
      </w:r>
      <w:r w:rsidR="00415723">
        <w:rPr>
          <w:i/>
        </w:rPr>
        <w:t xml:space="preserve">Market Participants </w:t>
      </w:r>
      <w:r w:rsidR="00415723">
        <w:t xml:space="preserve">whose appropriately metered </w:t>
      </w:r>
      <w:r w:rsidR="00415723">
        <w:rPr>
          <w:i/>
        </w:rPr>
        <w:t xml:space="preserve">generating units </w:t>
      </w:r>
      <w:r w:rsidR="00415723">
        <w:t xml:space="preserve">and </w:t>
      </w:r>
      <w:r w:rsidR="00415723">
        <w:rPr>
          <w:i/>
        </w:rPr>
        <w:t>loads</w:t>
      </w:r>
      <w:r w:rsidR="00415723" w:rsidRPr="008E4E21">
        <w:rPr>
          <w:i/>
        </w:rPr>
        <w:t xml:space="preserve"> </w:t>
      </w:r>
      <w:r w:rsidR="00CE59E3">
        <w:t>within the relevant category and area</w:t>
      </w:r>
      <w:r w:rsidR="00CE59E3">
        <w:rPr>
          <w:i/>
        </w:rPr>
        <w:t xml:space="preserve"> </w:t>
      </w:r>
      <w:r w:rsidR="00415723" w:rsidRPr="008E4E21">
        <w:t>(</w:t>
      </w:r>
      <w:r w:rsidR="00415723">
        <w:t>on a net aggregate basis</w:t>
      </w:r>
      <w:r w:rsidR="00415723" w:rsidRPr="008E4E21">
        <w:t xml:space="preserve">) </w:t>
      </w:r>
      <w:r w:rsidR="00415723">
        <w:t xml:space="preserve">alleviated </w:t>
      </w:r>
      <w:r w:rsidRPr="008E4E21">
        <w:t xml:space="preserve">the need for </w:t>
      </w:r>
      <w:r w:rsidRPr="00415723">
        <w:t>Regulation FCAS</w:t>
      </w:r>
      <w:r w:rsidR="00415723">
        <w:t xml:space="preserve"> in the 28-day period.</w:t>
      </w:r>
    </w:p>
    <w:p w14:paraId="793DF804" w14:textId="3D5196A5" w:rsidR="00415723" w:rsidRDefault="00415723" w:rsidP="00415723">
      <w:pPr>
        <w:pStyle w:val="TableTitle"/>
      </w:pPr>
      <w:r>
        <w:t xml:space="preserve">Table 9 </w:t>
      </w:r>
      <w:r>
        <w:tab/>
        <w:t>Aggregate to Portfolio factors</w:t>
      </w:r>
    </w:p>
    <w:tbl>
      <w:tblPr>
        <w:tblStyle w:val="AEMOTable3"/>
        <w:tblW w:w="5448" w:type="pct"/>
        <w:tblLook w:val="0420" w:firstRow="1" w:lastRow="0" w:firstColumn="0" w:lastColumn="0" w:noHBand="0" w:noVBand="1"/>
      </w:tblPr>
      <w:tblGrid>
        <w:gridCol w:w="2778"/>
        <w:gridCol w:w="7229"/>
      </w:tblGrid>
      <w:tr w:rsidR="00415723" w:rsidRPr="00415723" w14:paraId="31016AF2" w14:textId="77777777" w:rsidTr="00436DAB">
        <w:trPr>
          <w:cnfStyle w:val="100000000000" w:firstRow="1" w:lastRow="0" w:firstColumn="0" w:lastColumn="0" w:oddVBand="0" w:evenVBand="0" w:oddHBand="0" w:evenHBand="0" w:firstRowFirstColumn="0" w:firstRowLastColumn="0" w:lastRowFirstColumn="0" w:lastRowLastColumn="0"/>
          <w:trHeight w:val="397"/>
        </w:trPr>
        <w:tc>
          <w:tcPr>
            <w:tcW w:w="1388" w:type="pct"/>
            <w:vAlign w:val="center"/>
          </w:tcPr>
          <w:p w14:paraId="13C14A14" w14:textId="77777777" w:rsidR="00415723" w:rsidRPr="00415723" w:rsidRDefault="00415723" w:rsidP="00415723">
            <w:pPr>
              <w:spacing w:after="1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b w:val="0"/>
                <w:sz w:val="18"/>
                <w:szCs w:val="18"/>
              </w:rPr>
              <w:t>Component type</w:t>
            </w:r>
          </w:p>
        </w:tc>
        <w:tc>
          <w:tcPr>
            <w:tcW w:w="3612" w:type="pct"/>
            <w:vAlign w:val="center"/>
          </w:tcPr>
          <w:p w14:paraId="794396E9" w14:textId="77777777" w:rsidR="00415723" w:rsidRPr="00415723" w:rsidRDefault="00415723" w:rsidP="00415723">
            <w:pPr>
              <w:spacing w:after="1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b w:val="0"/>
                <w:sz w:val="18"/>
                <w:szCs w:val="18"/>
              </w:rPr>
              <w:t>Area Portfolio Factor</w:t>
            </w:r>
          </w:p>
        </w:tc>
      </w:tr>
      <w:tr w:rsidR="00415723" w:rsidRPr="00415723" w14:paraId="502E1564" w14:textId="77777777" w:rsidTr="00436DAB">
        <w:trPr>
          <w:cnfStyle w:val="000000100000" w:firstRow="0" w:lastRow="0" w:firstColumn="0" w:lastColumn="0" w:oddVBand="0" w:evenVBand="0" w:oddHBand="1" w:evenHBand="0" w:firstRowFirstColumn="0" w:firstRowLastColumn="0" w:lastRowFirstColumn="0" w:lastRowLastColumn="0"/>
        </w:trPr>
        <w:tc>
          <w:tcPr>
            <w:tcW w:w="1388" w:type="pct"/>
          </w:tcPr>
          <w:p w14:paraId="1E709AF6" w14:textId="55264A2B" w:rsidR="00415723" w:rsidRPr="00415723" w:rsidRDefault="00415723" w:rsidP="00415723">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sz w:val="18"/>
                <w:szCs w:val="18"/>
              </w:rPr>
              <w:t xml:space="preserve">For each portfolio containing scheduled or semi-scheduled generating units or </w:t>
            </w:r>
            <w:r w:rsidR="00CE59E3">
              <w:rPr>
                <w:rFonts w:asciiTheme="minorHAnsi" w:eastAsiaTheme="minorHAnsi" w:hAnsiTheme="minorHAnsi" w:cstheme="minorBidi"/>
                <w:sz w:val="18"/>
                <w:szCs w:val="18"/>
              </w:rPr>
              <w:t xml:space="preserve">scheduled </w:t>
            </w:r>
            <w:r w:rsidRPr="00415723">
              <w:rPr>
                <w:rFonts w:asciiTheme="minorHAnsi" w:eastAsiaTheme="minorHAnsi" w:hAnsiTheme="minorHAnsi" w:cstheme="minorBidi"/>
                <w:sz w:val="18"/>
                <w:szCs w:val="18"/>
              </w:rPr>
              <w:t>loads.</w:t>
            </w:r>
          </w:p>
        </w:tc>
        <w:tc>
          <w:tcPr>
            <w:tcW w:w="3612" w:type="pct"/>
            <w:vAlign w:val="center"/>
          </w:tcPr>
          <w:p w14:paraId="59774CB2" w14:textId="50C63921" w:rsidR="00A84FC9" w:rsidRDefault="00415723" w:rsidP="00A84FC9">
            <w:r w:rsidRPr="00415723">
              <w:rPr>
                <w:rFonts w:asciiTheme="minorHAnsi" w:eastAsiaTheme="minorHAnsi" w:hAnsiTheme="minorHAnsi" w:cstheme="minorBidi"/>
                <w:b/>
                <w:sz w:val="18"/>
                <w:szCs w:val="18"/>
              </w:rPr>
              <w:t xml:space="preserve">EQ. </w:t>
            </w:r>
            <w:r w:rsidRPr="00415723">
              <w:rPr>
                <w:rFonts w:asciiTheme="minorHAnsi" w:eastAsiaTheme="minorHAnsi" w:hAnsiTheme="minorHAnsi" w:cstheme="minorBidi"/>
                <w:b/>
                <w:sz w:val="18"/>
                <w:szCs w:val="18"/>
              </w:rPr>
              <w:fldChar w:fldCharType="begin"/>
            </w:r>
            <w:r w:rsidRPr="00415723">
              <w:rPr>
                <w:rFonts w:asciiTheme="minorHAnsi" w:eastAsiaTheme="minorHAnsi" w:hAnsiTheme="minorHAnsi" w:cstheme="minorBidi"/>
                <w:b/>
                <w:sz w:val="18"/>
                <w:szCs w:val="18"/>
              </w:rPr>
              <w:instrText xml:space="preserve"> SEQ Eq. \* ARABIC </w:instrText>
            </w:r>
            <w:r w:rsidRPr="00415723">
              <w:rPr>
                <w:rFonts w:asciiTheme="minorHAnsi" w:eastAsiaTheme="minorHAnsi" w:hAnsiTheme="minorHAnsi" w:cstheme="minorBidi"/>
                <w:b/>
                <w:sz w:val="18"/>
                <w:szCs w:val="18"/>
              </w:rPr>
              <w:fldChar w:fldCharType="separate"/>
            </w:r>
            <w:r w:rsidR="003E2BF7">
              <w:rPr>
                <w:rFonts w:asciiTheme="minorHAnsi" w:eastAsiaTheme="minorHAnsi" w:hAnsiTheme="minorHAnsi" w:cstheme="minorBidi"/>
                <w:b/>
                <w:noProof/>
                <w:sz w:val="18"/>
                <w:szCs w:val="18"/>
              </w:rPr>
              <w:t>16</w:t>
            </w:r>
            <w:r w:rsidRPr="00415723">
              <w:rPr>
                <w:rFonts w:asciiTheme="minorHAnsi" w:eastAsiaTheme="minorHAnsi" w:hAnsiTheme="minorHAnsi" w:cstheme="minorBidi"/>
                <w:b/>
                <w:sz w:val="18"/>
                <w:szCs w:val="18"/>
              </w:rPr>
              <w:fldChar w:fldCharType="end"/>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sz w:val="18"/>
                <w:szCs w:val="18"/>
              </w:rPr>
              <w:t xml:space="preserve"> </w:t>
            </w:r>
            <m:oMath>
              <m:r>
                <m:rPr>
                  <m:sty m:val="p"/>
                </m:rPr>
                <w:rPr>
                  <w:rFonts w:ascii="Cambria Math" w:eastAsiaTheme="minorHAnsi" w:hAnsi="Cambria Math" w:cstheme="minorBidi"/>
                  <w:sz w:val="18"/>
                  <w:szCs w:val="18"/>
                </w:rPr>
                <w:br/>
              </m:r>
            </m:oMath>
            <m:oMathPara>
              <m:oMath>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APF</m:t>
                    </m:r>
                  </m:e>
                  <m:sub>
                    <m:r>
                      <w:rPr>
                        <w:rFonts w:ascii="Cambria Math" w:eastAsiaTheme="minorHAnsi" w:hAnsi="Cambria Math" w:cstheme="minorBidi"/>
                        <w:sz w:val="18"/>
                        <w:szCs w:val="18"/>
                      </w:rPr>
                      <m:t>SSS</m:t>
                    </m:r>
                  </m:sub>
                </m:sSub>
                <m:r>
                  <w:rPr>
                    <w:rFonts w:ascii="Cambria Math" w:eastAsiaTheme="minorHAnsi" w:hAnsi="Cambria Math" w:cstheme="minorBidi"/>
                    <w:sz w:val="18"/>
                    <w:szCs w:val="18"/>
                  </w:rPr>
                  <m:t>=</m:t>
                </m:r>
                <m:func>
                  <m:funcPr>
                    <m:ctrlPr>
                      <w:rPr>
                        <w:rFonts w:ascii="Cambria Math" w:eastAsiaTheme="minorHAnsi" w:hAnsi="Cambria Math" w:cstheme="minorBidi"/>
                        <w:sz w:val="18"/>
                        <w:szCs w:val="18"/>
                      </w:rPr>
                    </m:ctrlPr>
                  </m:funcPr>
                  <m:fName>
                    <m:r>
                      <m:rPr>
                        <m:sty m:val="p"/>
                      </m:rPr>
                      <w:rPr>
                        <w:rFonts w:ascii="Cambria Math" w:hAnsi="Cambria Math"/>
                        <w:sz w:val="18"/>
                        <w:szCs w:val="18"/>
                      </w:rPr>
                      <m:t>Min(0,(</m:t>
                    </m:r>
                    <m:r>
                      <m:rPr>
                        <m:sty m:val="p"/>
                      </m:rPr>
                      <w:rPr>
                        <w:rFonts w:ascii="Cambria Math" w:eastAsiaTheme="minorHAnsi" w:hAnsi="Cambria Math" w:cstheme="minorBidi"/>
                        <w:sz w:val="18"/>
                        <w:szCs w:val="18"/>
                      </w:rPr>
                      <m:t>min</m:t>
                    </m:r>
                  </m:fName>
                  <m:e>
                    <m:d>
                      <m:dPr>
                        <m:ctrlPr>
                          <w:rPr>
                            <w:rFonts w:ascii="Cambria Math" w:eastAsiaTheme="minorHAnsi" w:hAnsi="Cambria Math" w:cstheme="minorBidi"/>
                            <w:i/>
                            <w:sz w:val="18"/>
                            <w:szCs w:val="18"/>
                          </w:rPr>
                        </m:ctrlPr>
                      </m:dPr>
                      <m:e>
                        <m:r>
                          <w:rPr>
                            <w:rFonts w:ascii="Cambria Math" w:eastAsiaTheme="minorHAnsi" w:hAnsi="Cambria Math" w:cstheme="minorBidi"/>
                            <w:sz w:val="18"/>
                            <w:szCs w:val="18"/>
                          </w:rPr>
                          <m:t>0,</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REF</m:t>
                            </m:r>
                          </m:e>
                          <m:sub>
                            <m:r>
                              <w:rPr>
                                <w:rFonts w:ascii="Cambria Math" w:eastAsiaTheme="minorHAnsi" w:hAnsi="Cambria Math" w:cstheme="minorBidi"/>
                                <w:sz w:val="18"/>
                                <w:szCs w:val="18"/>
                              </w:rPr>
                              <m:t>SM</m:t>
                            </m:r>
                          </m:sub>
                        </m:sSub>
                        <m:r>
                          <w:rPr>
                            <w:rFonts w:ascii="Cambria Math" w:hAnsi="Cambria Math"/>
                            <w:sz w:val="18"/>
                            <w:szCs w:val="18"/>
                          </w:rPr>
                          <m:t>)</m:t>
                        </m:r>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m:rPr>
                                <m:sty m:val="p"/>
                              </m:rPr>
                              <w:rPr>
                                <w:rFonts w:ascii="Cambria Math" w:eastAsiaTheme="minorHAnsi" w:hAnsi="Cambria Math" w:cstheme="minorBidi"/>
                                <w:sz w:val="18"/>
                                <w:szCs w:val="18"/>
                              </w:rPr>
                              <m:t>min⁡</m:t>
                            </m:r>
                            <m:r>
                              <w:rPr>
                                <w:rFonts w:ascii="Cambria Math" w:eastAsiaTheme="minorHAnsi" w:hAnsi="Cambria Math" w:cstheme="minorBidi"/>
                                <w:sz w:val="18"/>
                                <w:szCs w:val="18"/>
                              </w:rPr>
                              <m:t>(0,LEF</m:t>
                            </m:r>
                          </m:e>
                          <m:sub>
                            <m:r>
                              <w:rPr>
                                <w:rFonts w:ascii="Cambria Math" w:eastAsiaTheme="minorHAnsi" w:hAnsi="Cambria Math" w:cstheme="minorBidi"/>
                                <w:sz w:val="18"/>
                                <w:szCs w:val="18"/>
                              </w:rPr>
                              <m:t>SM</m:t>
                            </m:r>
                          </m:sub>
                        </m:sSub>
                      </m:e>
                    </m:d>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SM</m:t>
                        </m:r>
                      </m:sub>
                    </m:sSub>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SM</m:t>
                        </m:r>
                      </m:sub>
                    </m:sSub>
                  </m:e>
                </m:func>
                <m:r>
                  <w:rPr>
                    <w:rFonts w:ascii="Cambria Math" w:hAnsi="Cambria Math"/>
                    <w:sz w:val="18"/>
                    <w:szCs w:val="18"/>
                  </w:rPr>
                  <m:t>))</m:t>
                </m:r>
              </m:oMath>
            </m:oMathPara>
          </w:p>
          <w:p w14:paraId="60F5890F" w14:textId="791F32AC" w:rsidR="00415723" w:rsidRPr="00415723" w:rsidRDefault="00415723" w:rsidP="00415723">
            <w:pPr>
              <w:spacing w:before="60" w:after="60" w:line="259" w:lineRule="auto"/>
              <w:ind w:left="1077" w:hanging="1077"/>
              <w:jc w:val="left"/>
              <w:rPr>
                <w:rFonts w:asciiTheme="minorHAnsi" w:eastAsiaTheme="minorHAnsi" w:hAnsiTheme="minorHAnsi" w:cstheme="minorBidi"/>
                <w:sz w:val="18"/>
                <w:szCs w:val="18"/>
              </w:rPr>
            </w:pPr>
          </w:p>
          <w:p w14:paraId="4697FF68" w14:textId="7785030C" w:rsidR="00415723" w:rsidRPr="00415723" w:rsidRDefault="00415723" w:rsidP="00415723">
            <w:pPr>
              <w:spacing w:before="60" w:after="60" w:line="259" w:lineRule="auto"/>
              <w:ind w:left="2880"/>
              <w:jc w:val="left"/>
              <w:rPr>
                <w:rFonts w:asciiTheme="minorHAnsi" w:eastAsiaTheme="minorHAnsi" w:hAnsiTheme="minorHAnsi" w:cstheme="minorBidi"/>
                <w:sz w:val="18"/>
                <w:szCs w:val="18"/>
              </w:rPr>
            </w:pPr>
          </w:p>
        </w:tc>
      </w:tr>
      <w:tr w:rsidR="00415723" w:rsidRPr="00415723" w14:paraId="200E9C29" w14:textId="77777777" w:rsidTr="00436DAB">
        <w:trPr>
          <w:cnfStyle w:val="000000010000" w:firstRow="0" w:lastRow="0" w:firstColumn="0" w:lastColumn="0" w:oddVBand="0" w:evenVBand="0" w:oddHBand="0" w:evenHBand="1" w:firstRowFirstColumn="0" w:firstRowLastColumn="0" w:lastRowFirstColumn="0" w:lastRowLastColumn="0"/>
        </w:trPr>
        <w:tc>
          <w:tcPr>
            <w:tcW w:w="1388" w:type="pct"/>
          </w:tcPr>
          <w:p w14:paraId="12F78AA7" w14:textId="77777777" w:rsidR="00415723" w:rsidRPr="00415723" w:rsidRDefault="00415723" w:rsidP="00415723">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sz w:val="18"/>
                <w:szCs w:val="18"/>
              </w:rPr>
              <w:t>For each portfolio containing non-scheduled generating units or loads with appropriate metering.</w:t>
            </w:r>
          </w:p>
        </w:tc>
        <w:tc>
          <w:tcPr>
            <w:tcW w:w="3612" w:type="pct"/>
            <w:vAlign w:val="center"/>
          </w:tcPr>
          <w:p w14:paraId="3D8EDCAB" w14:textId="2C7298E4" w:rsidR="00415723" w:rsidRPr="00415723" w:rsidRDefault="00415723" w:rsidP="00415723">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b/>
                <w:sz w:val="18"/>
                <w:szCs w:val="18"/>
              </w:rPr>
              <w:t xml:space="preserve">EQ. </w:t>
            </w:r>
            <w:r w:rsidRPr="00415723">
              <w:rPr>
                <w:rFonts w:asciiTheme="minorHAnsi" w:eastAsiaTheme="minorHAnsi" w:hAnsiTheme="minorHAnsi" w:cstheme="minorBidi"/>
                <w:b/>
                <w:sz w:val="18"/>
                <w:szCs w:val="18"/>
              </w:rPr>
              <w:fldChar w:fldCharType="begin"/>
            </w:r>
            <w:r w:rsidRPr="00415723">
              <w:rPr>
                <w:rFonts w:asciiTheme="minorHAnsi" w:eastAsiaTheme="minorHAnsi" w:hAnsiTheme="minorHAnsi" w:cstheme="minorBidi"/>
                <w:b/>
                <w:sz w:val="18"/>
                <w:szCs w:val="18"/>
              </w:rPr>
              <w:instrText xml:space="preserve"> SEQ Eq. \* ARABIC </w:instrText>
            </w:r>
            <w:r w:rsidRPr="00415723">
              <w:rPr>
                <w:rFonts w:asciiTheme="minorHAnsi" w:eastAsiaTheme="minorHAnsi" w:hAnsiTheme="minorHAnsi" w:cstheme="minorBidi"/>
                <w:b/>
                <w:sz w:val="18"/>
                <w:szCs w:val="18"/>
              </w:rPr>
              <w:fldChar w:fldCharType="separate"/>
            </w:r>
            <w:r w:rsidR="003E2BF7">
              <w:rPr>
                <w:rFonts w:asciiTheme="minorHAnsi" w:eastAsiaTheme="minorHAnsi" w:hAnsiTheme="minorHAnsi" w:cstheme="minorBidi"/>
                <w:b/>
                <w:noProof/>
                <w:sz w:val="18"/>
                <w:szCs w:val="18"/>
              </w:rPr>
              <w:t>17</w:t>
            </w:r>
            <w:r w:rsidRPr="00415723">
              <w:rPr>
                <w:rFonts w:asciiTheme="minorHAnsi" w:eastAsiaTheme="minorHAnsi" w:hAnsiTheme="minorHAnsi" w:cstheme="minorBidi"/>
                <w:b/>
                <w:sz w:val="18"/>
                <w:szCs w:val="18"/>
              </w:rPr>
              <w:fldChar w:fldCharType="end"/>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sz w:val="18"/>
                <w:szCs w:val="18"/>
              </w:rPr>
              <w:t xml:space="preserve"> </w:t>
            </w:r>
            <m:oMath>
              <m:r>
                <w:rPr>
                  <w:rFonts w:ascii="Cambria Math" w:eastAsiaTheme="minorHAnsi" w:hAnsi="Cambria Math" w:cstheme="minorBidi"/>
                  <w:sz w:val="18"/>
                  <w:szCs w:val="18"/>
                </w:rPr>
                <m:t>A</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PF</m:t>
                  </m:r>
                </m:e>
                <m:sub>
                  <m:r>
                    <w:rPr>
                      <w:rFonts w:ascii="Cambria Math" w:eastAsiaTheme="minorHAnsi" w:hAnsi="Cambria Math" w:cstheme="minorBidi"/>
                      <w:sz w:val="18"/>
                      <w:szCs w:val="18"/>
                    </w:rPr>
                    <m:t>NS</m:t>
                  </m:r>
                </m:sub>
              </m:sSub>
              <m:r>
                <w:rPr>
                  <w:rFonts w:ascii="Cambria Math" w:eastAsiaTheme="minorHAnsi" w:hAnsi="Cambria Math" w:cstheme="minorBidi"/>
                  <w:sz w:val="18"/>
                  <w:szCs w:val="18"/>
                </w:rPr>
                <m:t>=</m:t>
              </m:r>
              <m:func>
                <m:funcPr>
                  <m:ctrlPr>
                    <w:rPr>
                      <w:rFonts w:ascii="Cambria Math" w:eastAsiaTheme="minorHAnsi" w:hAnsi="Cambria Math" w:cstheme="minorBidi"/>
                      <w:sz w:val="18"/>
                      <w:szCs w:val="18"/>
                    </w:rPr>
                  </m:ctrlPr>
                </m:funcPr>
                <m:fName>
                  <m:r>
                    <m:rPr>
                      <m:sty m:val="p"/>
                    </m:rPr>
                    <w:rPr>
                      <w:rFonts w:ascii="Cambria Math" w:hAnsi="Cambria Math"/>
                      <w:sz w:val="18"/>
                      <w:szCs w:val="18"/>
                    </w:rPr>
                    <m:t>Min(0,(</m:t>
                  </m:r>
                  <m:r>
                    <m:rPr>
                      <m:sty m:val="p"/>
                    </m:rPr>
                    <w:rPr>
                      <w:rFonts w:ascii="Cambria Math" w:eastAsiaTheme="minorHAnsi" w:hAnsi="Cambria Math" w:cstheme="minorBidi"/>
                      <w:sz w:val="18"/>
                      <w:szCs w:val="18"/>
                    </w:rPr>
                    <m:t>min</m:t>
                  </m:r>
                </m:fName>
                <m:e>
                  <m:d>
                    <m:dPr>
                      <m:ctrlPr>
                        <w:rPr>
                          <w:rFonts w:ascii="Cambria Math" w:eastAsiaTheme="minorHAnsi" w:hAnsi="Cambria Math" w:cstheme="minorBidi"/>
                          <w:i/>
                          <w:sz w:val="18"/>
                          <w:szCs w:val="18"/>
                        </w:rPr>
                      </m:ctrlPr>
                    </m:dPr>
                    <m:e>
                      <m:r>
                        <w:rPr>
                          <w:rFonts w:ascii="Cambria Math" w:eastAsiaTheme="minorHAnsi" w:hAnsi="Cambria Math" w:cstheme="minorBidi"/>
                          <w:sz w:val="18"/>
                          <w:szCs w:val="18"/>
                        </w:rPr>
                        <m:t>0,</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REF</m:t>
                          </m:r>
                        </m:e>
                        <m:sub>
                          <m:r>
                            <w:rPr>
                              <w:rFonts w:ascii="Cambria Math" w:eastAsiaTheme="minorHAnsi" w:hAnsi="Cambria Math" w:cstheme="minorBidi"/>
                              <w:sz w:val="18"/>
                              <w:szCs w:val="18"/>
                            </w:rPr>
                            <m:t>NSM</m:t>
                          </m:r>
                        </m:sub>
                      </m:sSub>
                      <m:r>
                        <w:rPr>
                          <w:rFonts w:ascii="Cambria Math" w:hAnsi="Cambria Math"/>
                          <w:sz w:val="18"/>
                          <w:szCs w:val="18"/>
                        </w:rPr>
                        <m:t>)</m:t>
                      </m:r>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m:rPr>
                              <m:sty m:val="p"/>
                            </m:rPr>
                            <w:rPr>
                              <w:rFonts w:ascii="Cambria Math" w:eastAsiaTheme="minorHAnsi" w:hAnsi="Cambria Math" w:cstheme="minorBidi"/>
                              <w:sz w:val="18"/>
                              <w:szCs w:val="18"/>
                            </w:rPr>
                            <m:t>min⁡</m:t>
                          </m:r>
                          <m:r>
                            <w:rPr>
                              <w:rFonts w:ascii="Cambria Math" w:eastAsiaTheme="minorHAnsi" w:hAnsi="Cambria Math" w:cstheme="minorBidi"/>
                              <w:sz w:val="18"/>
                              <w:szCs w:val="18"/>
                            </w:rPr>
                            <m:t>(0,LEF</m:t>
                          </m:r>
                        </m:e>
                        <m:sub>
                          <m:r>
                            <w:rPr>
                              <w:rFonts w:ascii="Cambria Math" w:eastAsiaTheme="minorHAnsi" w:hAnsi="Cambria Math" w:cstheme="minorBidi"/>
                              <w:sz w:val="18"/>
                              <w:szCs w:val="18"/>
                            </w:rPr>
                            <m:t>NSM</m:t>
                          </m:r>
                        </m:sub>
                      </m:sSub>
                    </m:e>
                  </m:d>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NSM</m:t>
                      </m:r>
                    </m:sub>
                  </m:sSub>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NSM</m:t>
                      </m:r>
                    </m:sub>
                  </m:sSub>
                </m:e>
              </m:func>
              <m:r>
                <w:rPr>
                  <w:rFonts w:ascii="Cambria Math" w:hAnsi="Cambria Math"/>
                  <w:sz w:val="18"/>
                  <w:szCs w:val="18"/>
                </w:rPr>
                <m:t>))</m:t>
              </m:r>
            </m:oMath>
          </w:p>
          <w:p w14:paraId="2CB46836" w14:textId="57C7D227" w:rsidR="00415723" w:rsidRPr="00415723" w:rsidRDefault="00415723" w:rsidP="00415723">
            <w:pPr>
              <w:spacing w:before="60" w:after="60" w:line="259" w:lineRule="auto"/>
              <w:ind w:left="2880"/>
              <w:jc w:val="left"/>
              <w:rPr>
                <w:rFonts w:asciiTheme="minorHAnsi" w:eastAsiaTheme="minorHAnsi" w:hAnsiTheme="minorHAnsi" w:cstheme="minorBidi"/>
                <w:sz w:val="18"/>
                <w:szCs w:val="18"/>
              </w:rPr>
            </w:pPr>
          </w:p>
        </w:tc>
      </w:tr>
      <w:tr w:rsidR="00415723" w:rsidRPr="00415723" w14:paraId="453AC3C1" w14:textId="77777777" w:rsidTr="00436DAB">
        <w:trPr>
          <w:cnfStyle w:val="000000100000" w:firstRow="0" w:lastRow="0" w:firstColumn="0" w:lastColumn="0" w:oddVBand="0" w:evenVBand="0" w:oddHBand="1" w:evenHBand="0" w:firstRowFirstColumn="0" w:firstRowLastColumn="0" w:lastRowFirstColumn="0" w:lastRowLastColumn="0"/>
        </w:trPr>
        <w:tc>
          <w:tcPr>
            <w:tcW w:w="1388" w:type="pct"/>
          </w:tcPr>
          <w:p w14:paraId="6B89A1BD" w14:textId="77777777" w:rsidR="00415723" w:rsidRPr="00415723" w:rsidRDefault="00415723" w:rsidP="00415723">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sz w:val="18"/>
                <w:szCs w:val="18"/>
              </w:rPr>
              <w:t>For each region, representing the non-linearity of demand.</w:t>
            </w:r>
          </w:p>
        </w:tc>
        <w:tc>
          <w:tcPr>
            <w:tcW w:w="3612" w:type="pct"/>
            <w:vAlign w:val="center"/>
          </w:tcPr>
          <w:p w14:paraId="1A0ECF7E" w14:textId="39C3AF23" w:rsidR="00415723" w:rsidRPr="00415723" w:rsidRDefault="00415723" w:rsidP="00843939">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b/>
                <w:sz w:val="18"/>
                <w:szCs w:val="18"/>
              </w:rPr>
              <w:t xml:space="preserve">EQ. </w:t>
            </w:r>
            <w:r w:rsidRPr="00415723">
              <w:rPr>
                <w:rFonts w:asciiTheme="minorHAnsi" w:eastAsiaTheme="minorHAnsi" w:hAnsiTheme="minorHAnsi" w:cstheme="minorBidi"/>
                <w:b/>
                <w:sz w:val="18"/>
                <w:szCs w:val="18"/>
              </w:rPr>
              <w:fldChar w:fldCharType="begin"/>
            </w:r>
            <w:r w:rsidRPr="00415723">
              <w:rPr>
                <w:rFonts w:asciiTheme="minorHAnsi" w:eastAsiaTheme="minorHAnsi" w:hAnsiTheme="minorHAnsi" w:cstheme="minorBidi"/>
                <w:b/>
                <w:sz w:val="18"/>
                <w:szCs w:val="18"/>
              </w:rPr>
              <w:instrText xml:space="preserve"> SEQ Eq. \* ARABIC </w:instrText>
            </w:r>
            <w:r w:rsidRPr="00415723">
              <w:rPr>
                <w:rFonts w:asciiTheme="minorHAnsi" w:eastAsiaTheme="minorHAnsi" w:hAnsiTheme="minorHAnsi" w:cstheme="minorBidi"/>
                <w:b/>
                <w:sz w:val="18"/>
                <w:szCs w:val="18"/>
              </w:rPr>
              <w:fldChar w:fldCharType="separate"/>
            </w:r>
            <w:r w:rsidR="003E2BF7">
              <w:rPr>
                <w:rFonts w:asciiTheme="minorHAnsi" w:eastAsiaTheme="minorHAnsi" w:hAnsiTheme="minorHAnsi" w:cstheme="minorBidi"/>
                <w:b/>
                <w:noProof/>
                <w:sz w:val="18"/>
                <w:szCs w:val="18"/>
              </w:rPr>
              <w:t>18</w:t>
            </w:r>
            <w:r w:rsidRPr="00415723">
              <w:rPr>
                <w:rFonts w:asciiTheme="minorHAnsi" w:eastAsiaTheme="minorHAnsi" w:hAnsiTheme="minorHAnsi" w:cstheme="minorBidi"/>
                <w:b/>
                <w:sz w:val="18"/>
                <w:szCs w:val="18"/>
              </w:rPr>
              <w:fldChar w:fldCharType="end"/>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sz w:val="18"/>
                <w:szCs w:val="18"/>
              </w:rPr>
              <w:t xml:space="preserve"> </w:t>
            </w:r>
            <m:oMath>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APF</m:t>
                  </m:r>
                </m:e>
                <m:sub>
                  <m:r>
                    <w:rPr>
                      <w:rFonts w:ascii="Cambria Math" w:eastAsiaTheme="minorHAnsi" w:hAnsi="Cambria Math" w:cstheme="minorBidi"/>
                      <w:sz w:val="18"/>
                      <w:szCs w:val="18"/>
                    </w:rPr>
                    <m:t>DG</m:t>
                  </m:r>
                </m:sub>
              </m:sSub>
              <m:r>
                <w:rPr>
                  <w:rFonts w:ascii="Cambria Math" w:eastAsiaTheme="minorHAnsi" w:hAnsi="Cambria Math" w:cstheme="minorBidi"/>
                  <w:sz w:val="18"/>
                  <w:szCs w:val="18"/>
                </w:rPr>
                <m:t xml:space="preserve">=  </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DG</m:t>
                  </m:r>
                </m:sub>
              </m:sSub>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DG</m:t>
                  </m:r>
                </m:sub>
              </m:sSub>
            </m:oMath>
          </w:p>
        </w:tc>
      </w:tr>
      <w:tr w:rsidR="00415723" w:rsidRPr="00415723" w14:paraId="63A258C2" w14:textId="77777777" w:rsidTr="00436DAB">
        <w:trPr>
          <w:cnfStyle w:val="000000010000" w:firstRow="0" w:lastRow="0" w:firstColumn="0" w:lastColumn="0" w:oddVBand="0" w:evenVBand="0" w:oddHBand="0" w:evenHBand="1" w:firstRowFirstColumn="0" w:firstRowLastColumn="0" w:lastRowFirstColumn="0" w:lastRowLastColumn="0"/>
        </w:trPr>
        <w:tc>
          <w:tcPr>
            <w:tcW w:w="1388" w:type="pct"/>
          </w:tcPr>
          <w:p w14:paraId="7A7498AE" w14:textId="77777777" w:rsidR="00415723" w:rsidRPr="00415723" w:rsidRDefault="00415723" w:rsidP="00415723">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sz w:val="18"/>
                <w:szCs w:val="18"/>
              </w:rPr>
              <w:t xml:space="preserve">For each region, representing the demand forecasting error. </w:t>
            </w:r>
          </w:p>
        </w:tc>
        <w:tc>
          <w:tcPr>
            <w:tcW w:w="3612" w:type="pct"/>
            <w:vAlign w:val="center"/>
          </w:tcPr>
          <w:p w14:paraId="661235AF" w14:textId="1246E53C" w:rsidR="00415723" w:rsidRPr="00415723" w:rsidRDefault="00415723" w:rsidP="00843939">
            <w:pPr>
              <w:spacing w:before="60" w:after="60" w:line="259" w:lineRule="auto"/>
              <w:jc w:val="left"/>
              <w:rPr>
                <w:rFonts w:asciiTheme="minorHAnsi" w:eastAsiaTheme="minorHAnsi" w:hAnsiTheme="minorHAnsi" w:cstheme="minorBidi"/>
                <w:sz w:val="18"/>
                <w:szCs w:val="18"/>
              </w:rPr>
            </w:pPr>
            <w:r w:rsidRPr="00415723">
              <w:rPr>
                <w:rFonts w:asciiTheme="minorHAnsi" w:eastAsiaTheme="minorHAnsi" w:hAnsiTheme="minorHAnsi" w:cstheme="minorBidi"/>
                <w:b/>
                <w:sz w:val="18"/>
                <w:szCs w:val="18"/>
              </w:rPr>
              <w:t xml:space="preserve">EQ. </w:t>
            </w:r>
            <w:r w:rsidRPr="00415723">
              <w:rPr>
                <w:rFonts w:asciiTheme="minorHAnsi" w:eastAsiaTheme="minorHAnsi" w:hAnsiTheme="minorHAnsi" w:cstheme="minorBidi"/>
                <w:b/>
                <w:sz w:val="18"/>
                <w:szCs w:val="18"/>
              </w:rPr>
              <w:fldChar w:fldCharType="begin"/>
            </w:r>
            <w:r w:rsidRPr="00415723">
              <w:rPr>
                <w:rFonts w:asciiTheme="minorHAnsi" w:eastAsiaTheme="minorHAnsi" w:hAnsiTheme="minorHAnsi" w:cstheme="minorBidi"/>
                <w:b/>
                <w:sz w:val="18"/>
                <w:szCs w:val="18"/>
              </w:rPr>
              <w:instrText xml:space="preserve"> SEQ Eq. \* ARABIC </w:instrText>
            </w:r>
            <w:r w:rsidRPr="00415723">
              <w:rPr>
                <w:rFonts w:asciiTheme="minorHAnsi" w:eastAsiaTheme="minorHAnsi" w:hAnsiTheme="minorHAnsi" w:cstheme="minorBidi"/>
                <w:b/>
                <w:sz w:val="18"/>
                <w:szCs w:val="18"/>
              </w:rPr>
              <w:fldChar w:fldCharType="separate"/>
            </w:r>
            <w:r w:rsidR="003E2BF7">
              <w:rPr>
                <w:rFonts w:asciiTheme="minorHAnsi" w:eastAsiaTheme="minorHAnsi" w:hAnsiTheme="minorHAnsi" w:cstheme="minorBidi"/>
                <w:b/>
                <w:noProof/>
                <w:sz w:val="18"/>
                <w:szCs w:val="18"/>
              </w:rPr>
              <w:t>19</w:t>
            </w:r>
            <w:r w:rsidRPr="00415723">
              <w:rPr>
                <w:rFonts w:asciiTheme="minorHAnsi" w:eastAsiaTheme="minorHAnsi" w:hAnsiTheme="minorHAnsi" w:cstheme="minorBidi"/>
                <w:b/>
                <w:sz w:val="18"/>
                <w:szCs w:val="18"/>
              </w:rPr>
              <w:fldChar w:fldCharType="end"/>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b/>
                <w:sz w:val="18"/>
                <w:szCs w:val="18"/>
              </w:rPr>
              <w:tab/>
            </w:r>
            <w:r w:rsidRPr="00415723">
              <w:rPr>
                <w:rFonts w:asciiTheme="minorHAnsi" w:eastAsiaTheme="minorHAnsi" w:hAnsiTheme="minorHAnsi" w:cstheme="minorBidi"/>
                <w:sz w:val="18"/>
                <w:szCs w:val="18"/>
              </w:rPr>
              <w:t xml:space="preserve"> </w:t>
            </w:r>
            <m:oMath>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APF</m:t>
                  </m:r>
                </m:e>
                <m:sub>
                  <m:r>
                    <w:rPr>
                      <w:rFonts w:ascii="Cambria Math" w:eastAsiaTheme="minorHAnsi" w:hAnsi="Cambria Math" w:cstheme="minorBidi"/>
                      <w:sz w:val="18"/>
                      <w:szCs w:val="18"/>
                    </w:rPr>
                    <m:t>FE</m:t>
                  </m:r>
                </m:sub>
              </m:sSub>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RNEF</m:t>
                  </m:r>
                </m:e>
                <m:sub>
                  <m:r>
                    <w:rPr>
                      <w:rFonts w:ascii="Cambria Math" w:eastAsiaTheme="minorHAnsi" w:hAnsi="Cambria Math" w:cstheme="minorBidi"/>
                      <w:sz w:val="18"/>
                      <w:szCs w:val="18"/>
                    </w:rPr>
                    <m:t>FE</m:t>
                  </m:r>
                </m:sub>
              </m:sSub>
              <m:r>
                <w:rPr>
                  <w:rFonts w:ascii="Cambria Math" w:eastAsiaTheme="minorHAnsi" w:hAnsi="Cambria Math" w:cstheme="minorBidi"/>
                  <w:sz w:val="18"/>
                  <w:szCs w:val="18"/>
                </w:rPr>
                <m:t>+</m:t>
              </m:r>
              <m:sSub>
                <m:sSubPr>
                  <m:ctrlPr>
                    <w:rPr>
                      <w:rFonts w:ascii="Cambria Math" w:eastAsiaTheme="minorHAnsi" w:hAnsi="Cambria Math" w:cstheme="minorBidi"/>
                      <w:i/>
                      <w:sz w:val="18"/>
                      <w:szCs w:val="18"/>
                    </w:rPr>
                  </m:ctrlPr>
                </m:sSubPr>
                <m:e>
                  <m:r>
                    <w:rPr>
                      <w:rFonts w:ascii="Cambria Math" w:eastAsiaTheme="minorHAnsi" w:hAnsi="Cambria Math" w:cstheme="minorBidi"/>
                      <w:sz w:val="18"/>
                      <w:szCs w:val="18"/>
                    </w:rPr>
                    <m:t>LNEF</m:t>
                  </m:r>
                </m:e>
                <m:sub>
                  <m:r>
                    <w:rPr>
                      <w:rFonts w:ascii="Cambria Math" w:eastAsiaTheme="minorHAnsi" w:hAnsi="Cambria Math" w:cstheme="minorBidi"/>
                      <w:sz w:val="18"/>
                      <w:szCs w:val="18"/>
                    </w:rPr>
                    <m:t>FE</m:t>
                  </m:r>
                </m:sub>
              </m:sSub>
              <m:r>
                <w:rPr>
                  <w:rFonts w:ascii="Cambria Math" w:eastAsiaTheme="minorHAnsi" w:hAnsi="Cambria Math" w:cstheme="minorBidi"/>
                  <w:sz w:val="18"/>
                  <w:szCs w:val="18"/>
                </w:rPr>
                <m:t xml:space="preserve"> </m:t>
              </m:r>
            </m:oMath>
          </w:p>
        </w:tc>
      </w:tr>
    </w:tbl>
    <w:p w14:paraId="0B8332F1" w14:textId="2C36CCDD" w:rsidR="00415723" w:rsidRDefault="00415723" w:rsidP="00415723">
      <w:pPr>
        <w:pStyle w:val="TableTitle"/>
      </w:pPr>
    </w:p>
    <w:p w14:paraId="4D5E05E3" w14:textId="48E55EE2" w:rsidR="00A7158E" w:rsidRDefault="00A7158E" w:rsidP="00A7158E">
      <w:pPr>
        <w:pStyle w:val="Heading2"/>
      </w:pPr>
      <w:bookmarkStart w:id="64" w:name="_Toc508896716"/>
      <w:bookmarkStart w:id="65" w:name="_Ref508956055"/>
      <w:r>
        <w:t>Calculate Area Totals for Component Types</w:t>
      </w:r>
      <w:bookmarkEnd w:id="64"/>
      <w:bookmarkEnd w:id="65"/>
    </w:p>
    <w:p w14:paraId="1692CE51" w14:textId="326A2445" w:rsidR="00A7158E" w:rsidRDefault="00A7158E" w:rsidP="00A7158E">
      <w:pPr>
        <w:pStyle w:val="ResetPara"/>
      </w:pPr>
    </w:p>
    <w:p w14:paraId="00CC7313" w14:textId="45309EB0" w:rsidR="00A7158E" w:rsidRPr="008E4E21" w:rsidRDefault="00A7158E" w:rsidP="00A7158E">
      <w:pPr>
        <w:pStyle w:val="Lista"/>
      </w:pPr>
      <w:r w:rsidRPr="008E4E21">
        <w:t xml:space="preserve">To facilitate the allocation of demand deviations between </w:t>
      </w:r>
      <w:r w:rsidRPr="008E4E21">
        <w:rPr>
          <w:i/>
        </w:rPr>
        <w:t xml:space="preserve">non-scheduled generating units and loads </w:t>
      </w:r>
      <w:r w:rsidRPr="008E4E21">
        <w:t xml:space="preserve">with and without appropriate metering, a set of area totals </w:t>
      </w:r>
      <w:r w:rsidR="006B0231">
        <w:t>is</w:t>
      </w:r>
      <w:r w:rsidRPr="008E4E21">
        <w:t xml:space="preserve"> calculated as described in </w:t>
      </w:r>
      <w:r>
        <w:t>Table 10</w:t>
      </w:r>
      <w:r w:rsidRPr="008E4E21">
        <w:t xml:space="preserve">. </w:t>
      </w:r>
    </w:p>
    <w:p w14:paraId="2CFE48E1" w14:textId="205B328E" w:rsidR="00A7158E" w:rsidRDefault="00A7158E" w:rsidP="00A7158E">
      <w:pPr>
        <w:pStyle w:val="Lista"/>
      </w:pPr>
      <w:r w:rsidRPr="008E4E21">
        <w:t xml:space="preserve">This process is performed separately for each </w:t>
      </w:r>
      <w:r>
        <w:t xml:space="preserve">area, namely Mainland and Tasmania, as shown in </w:t>
      </w:r>
      <w:r w:rsidR="00AB1114">
        <w:t>Table 10</w:t>
      </w:r>
      <w:r w:rsidRPr="008E4E21">
        <w:t>).</w:t>
      </w:r>
    </w:p>
    <w:p w14:paraId="2E914E27" w14:textId="7F70A4C3" w:rsidR="00A7158E" w:rsidRDefault="00A7158E" w:rsidP="00A7158E">
      <w:pPr>
        <w:pStyle w:val="TableTitle"/>
      </w:pPr>
      <w:r>
        <w:t>Table 10 Derived Area Totals</w:t>
      </w:r>
    </w:p>
    <w:tbl>
      <w:tblPr>
        <w:tblStyle w:val="AEMOTable4"/>
        <w:tblW w:w="4984" w:type="pct"/>
        <w:tblLook w:val="0420" w:firstRow="1" w:lastRow="0" w:firstColumn="0" w:lastColumn="0" w:noHBand="0" w:noVBand="1"/>
      </w:tblPr>
      <w:tblGrid>
        <w:gridCol w:w="2920"/>
        <w:gridCol w:w="2549"/>
        <w:gridCol w:w="3686"/>
      </w:tblGrid>
      <w:tr w:rsidR="00A7158E" w:rsidRPr="00A7158E" w14:paraId="550BE4F3" w14:textId="77777777" w:rsidTr="00436DAB">
        <w:trPr>
          <w:cnfStyle w:val="100000000000" w:firstRow="1" w:lastRow="0" w:firstColumn="0" w:lastColumn="0" w:oddVBand="0" w:evenVBand="0" w:oddHBand="0" w:evenHBand="0" w:firstRowFirstColumn="0" w:firstRowLastColumn="0" w:lastRowFirstColumn="0" w:lastRowLastColumn="0"/>
        </w:trPr>
        <w:tc>
          <w:tcPr>
            <w:tcW w:w="1595" w:type="pct"/>
            <w:vAlign w:val="center"/>
          </w:tcPr>
          <w:p w14:paraId="1F337CCE" w14:textId="77777777" w:rsidR="00A7158E" w:rsidRPr="00A7158E" w:rsidRDefault="00A7158E" w:rsidP="00A7158E">
            <w:pPr>
              <w:keepNext/>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b w:val="0"/>
                <w:sz w:val="18"/>
                <w:szCs w:val="18"/>
              </w:rPr>
              <w:t>Component Type</w:t>
            </w:r>
          </w:p>
        </w:tc>
        <w:tc>
          <w:tcPr>
            <w:tcW w:w="1392" w:type="pct"/>
            <w:vAlign w:val="center"/>
          </w:tcPr>
          <w:p w14:paraId="1547B77E" w14:textId="77777777" w:rsidR="00A7158E" w:rsidRPr="00A7158E" w:rsidRDefault="00A7158E" w:rsidP="00A7158E">
            <w:pPr>
              <w:keepNext/>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b w:val="0"/>
                <w:sz w:val="18"/>
                <w:szCs w:val="18"/>
              </w:rPr>
              <w:t>Total Name</w:t>
            </w:r>
          </w:p>
        </w:tc>
        <w:tc>
          <w:tcPr>
            <w:tcW w:w="2013" w:type="pct"/>
            <w:vAlign w:val="center"/>
          </w:tcPr>
          <w:p w14:paraId="7B570947" w14:textId="77777777" w:rsidR="00A7158E" w:rsidRPr="00A7158E" w:rsidRDefault="00A7158E" w:rsidP="00A7158E">
            <w:pPr>
              <w:keepNext/>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b w:val="0"/>
                <w:sz w:val="18"/>
                <w:szCs w:val="18"/>
              </w:rPr>
              <w:t>Calculation</w:t>
            </w:r>
          </w:p>
        </w:tc>
      </w:tr>
      <w:tr w:rsidR="00A7158E" w:rsidRPr="00A7158E" w14:paraId="7E8B023B" w14:textId="77777777" w:rsidTr="00436DAB">
        <w:trPr>
          <w:cnfStyle w:val="000000100000" w:firstRow="0" w:lastRow="0" w:firstColumn="0" w:lastColumn="0" w:oddVBand="0" w:evenVBand="0" w:oddHBand="1" w:evenHBand="0" w:firstRowFirstColumn="0" w:firstRowLastColumn="0" w:lastRowFirstColumn="0" w:lastRowLastColumn="0"/>
        </w:trPr>
        <w:tc>
          <w:tcPr>
            <w:tcW w:w="1595" w:type="pct"/>
          </w:tcPr>
          <w:p w14:paraId="445B175E" w14:textId="6CF334A6" w:rsidR="00A7158E" w:rsidRPr="00A7158E" w:rsidRDefault="00A7158E" w:rsidP="00A7158E">
            <w:pPr>
              <w:keepNext/>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 xml:space="preserve">All scheduled and semi-scheduled </w:t>
            </w:r>
            <w:r w:rsidR="00CE59E3">
              <w:rPr>
                <w:rFonts w:asciiTheme="majorHAnsi" w:eastAsiaTheme="minorHAnsi" w:hAnsiTheme="majorHAnsi" w:cstheme="majorHAnsi"/>
                <w:sz w:val="18"/>
                <w:szCs w:val="18"/>
              </w:rPr>
              <w:t xml:space="preserve">generating </w:t>
            </w:r>
            <w:r w:rsidRPr="00A7158E">
              <w:rPr>
                <w:rFonts w:asciiTheme="majorHAnsi" w:eastAsiaTheme="minorHAnsi" w:hAnsiTheme="majorHAnsi" w:cstheme="majorHAnsi"/>
                <w:sz w:val="18"/>
                <w:szCs w:val="18"/>
              </w:rPr>
              <w:t xml:space="preserve">units and </w:t>
            </w:r>
            <w:r w:rsidR="00CE59E3">
              <w:rPr>
                <w:rFonts w:asciiTheme="majorHAnsi" w:eastAsiaTheme="minorHAnsi" w:hAnsiTheme="majorHAnsi" w:cstheme="majorHAnsi"/>
                <w:sz w:val="18"/>
                <w:szCs w:val="18"/>
              </w:rPr>
              <w:t xml:space="preserve">scheduled </w:t>
            </w:r>
            <w:r w:rsidRPr="00A7158E">
              <w:rPr>
                <w:rFonts w:asciiTheme="majorHAnsi" w:eastAsiaTheme="minorHAnsi" w:hAnsiTheme="majorHAnsi" w:cstheme="majorHAnsi"/>
                <w:sz w:val="18"/>
                <w:szCs w:val="18"/>
              </w:rPr>
              <w:t>loads</w:t>
            </w:r>
          </w:p>
        </w:tc>
        <w:tc>
          <w:tcPr>
            <w:tcW w:w="1392" w:type="pct"/>
          </w:tcPr>
          <w:p w14:paraId="759C49DC" w14:textId="42A3151B" w:rsidR="00A7158E" w:rsidRPr="00A7158E" w:rsidRDefault="00A7158E" w:rsidP="00A7158E">
            <w:pPr>
              <w:keepNext/>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Area Market Scheduled Factor (</w:t>
            </w:r>
            <w:r w:rsidR="00EA78B3">
              <w:rPr>
                <w:rFonts w:asciiTheme="majorHAnsi" w:eastAsiaTheme="minorHAnsi" w:hAnsiTheme="majorHAnsi" w:cstheme="majorHAnsi"/>
                <w:sz w:val="18"/>
                <w:szCs w:val="18"/>
              </w:rPr>
              <w:t>A</w:t>
            </w:r>
            <w:r w:rsidRPr="00A7158E">
              <w:rPr>
                <w:rFonts w:asciiTheme="majorHAnsi" w:eastAsiaTheme="minorHAnsi" w:hAnsiTheme="majorHAnsi" w:cstheme="majorHAnsi"/>
                <w:sz w:val="18"/>
                <w:szCs w:val="18"/>
              </w:rPr>
              <w:t>MSF)</w:t>
            </w:r>
          </w:p>
        </w:tc>
        <w:tc>
          <w:tcPr>
            <w:tcW w:w="2013" w:type="pct"/>
            <w:vAlign w:val="center"/>
          </w:tcPr>
          <w:p w14:paraId="07CA7F87" w14:textId="752B2E1A" w:rsidR="00A7158E" w:rsidRPr="00A7158E" w:rsidRDefault="00A7158E" w:rsidP="00A7158E">
            <w:pPr>
              <w:keepNext/>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b/>
                <w:sz w:val="18"/>
                <w:szCs w:val="18"/>
              </w:rPr>
              <w:t xml:space="preserve">EQ. </w:t>
            </w:r>
            <w:r w:rsidRPr="00A7158E">
              <w:rPr>
                <w:rFonts w:asciiTheme="majorHAnsi" w:eastAsiaTheme="minorHAnsi" w:hAnsiTheme="majorHAnsi" w:cstheme="majorHAnsi"/>
                <w:b/>
                <w:sz w:val="18"/>
                <w:szCs w:val="18"/>
              </w:rPr>
              <w:fldChar w:fldCharType="begin"/>
            </w:r>
            <w:r w:rsidRPr="00A7158E">
              <w:rPr>
                <w:rFonts w:asciiTheme="majorHAnsi" w:eastAsiaTheme="minorHAnsi" w:hAnsiTheme="majorHAnsi" w:cstheme="majorHAnsi"/>
                <w:b/>
                <w:sz w:val="18"/>
                <w:szCs w:val="18"/>
              </w:rPr>
              <w:instrText xml:space="preserve"> SEQ Eq. \* ARABIC </w:instrText>
            </w:r>
            <w:r w:rsidRPr="00A7158E">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20</w:t>
            </w:r>
            <w:r w:rsidRPr="00A7158E">
              <w:rPr>
                <w:rFonts w:asciiTheme="majorHAnsi" w:eastAsiaTheme="minorHAnsi" w:hAnsiTheme="majorHAnsi" w:cstheme="majorHAnsi"/>
                <w:b/>
                <w:sz w:val="18"/>
                <w:szCs w:val="18"/>
              </w:rPr>
              <w:fldChar w:fldCharType="end"/>
            </w:r>
            <w:r w:rsidRPr="00A7158E">
              <w:rPr>
                <w:rFonts w:asciiTheme="majorHAnsi" w:eastAsiaTheme="minorHAnsi" w:hAnsiTheme="majorHAnsi" w:cstheme="majorHAnsi"/>
                <w:b/>
                <w:sz w:val="18"/>
                <w:szCs w:val="18"/>
              </w:rPr>
              <w:tab/>
            </w:r>
            <w:r w:rsidRPr="00A7158E">
              <w:rPr>
                <w:rFonts w:asciiTheme="majorHAnsi" w:eastAsiaTheme="minorHAnsi" w:hAnsiTheme="majorHAnsi" w:cstheme="majorHAnsi"/>
                <w:b/>
                <w:sz w:val="18"/>
                <w:szCs w:val="18"/>
              </w:rPr>
              <w:tab/>
            </w:r>
            <m:oMath>
              <m:r>
                <m:rPr>
                  <m:sty m:val="bi"/>
                </m:rPr>
                <w:rPr>
                  <w:rFonts w:ascii="Cambria Math" w:eastAsiaTheme="minorHAnsi" w:hAnsi="Cambria Math" w:cstheme="majorHAnsi"/>
                  <w:sz w:val="18"/>
                  <w:szCs w:val="18"/>
                </w:rPr>
                <m:t>A</m:t>
              </m:r>
              <m:r>
                <w:rPr>
                  <w:rFonts w:ascii="Cambria Math" w:eastAsiaTheme="minorHAnsi" w:hAnsi="Cambria Math" w:cstheme="majorHAnsi"/>
                  <w:sz w:val="18"/>
                  <w:szCs w:val="18"/>
                </w:rPr>
                <m:t xml:space="preserve">MSF= </m:t>
              </m:r>
              <m:nary>
                <m:naryPr>
                  <m:chr m:val="∑"/>
                  <m:limLoc m:val="undOvr"/>
                  <m:subHide m:val="1"/>
                  <m:supHide m:val="1"/>
                  <m:ctrlPr>
                    <w:rPr>
                      <w:rFonts w:ascii="Cambria Math" w:eastAsiaTheme="minorHAnsi" w:hAnsi="Cambria Math" w:cstheme="majorHAnsi"/>
                      <w:i/>
                      <w:sz w:val="18"/>
                      <w:szCs w:val="18"/>
                    </w:rPr>
                  </m:ctrlPr>
                </m:naryPr>
                <m:sub/>
                <m:sup/>
                <m:e>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APF</m:t>
                      </m:r>
                    </m:e>
                    <m:sub>
                      <m:r>
                        <w:rPr>
                          <w:rFonts w:ascii="Cambria Math" w:eastAsiaTheme="minorHAnsi" w:hAnsi="Cambria Math" w:cstheme="majorHAnsi"/>
                          <w:sz w:val="18"/>
                          <w:szCs w:val="18"/>
                        </w:rPr>
                        <m:t>SSS</m:t>
                      </m:r>
                    </m:sub>
                  </m:sSub>
                </m:e>
              </m:nary>
            </m:oMath>
          </w:p>
        </w:tc>
      </w:tr>
      <w:tr w:rsidR="00A7158E" w:rsidRPr="00A7158E" w14:paraId="636B53C9" w14:textId="77777777" w:rsidTr="00436DAB">
        <w:trPr>
          <w:cnfStyle w:val="000000010000" w:firstRow="0" w:lastRow="0" w:firstColumn="0" w:lastColumn="0" w:oddVBand="0" w:evenVBand="0" w:oddHBand="0" w:evenHBand="1" w:firstRowFirstColumn="0" w:firstRowLastColumn="0" w:lastRowFirstColumn="0" w:lastRowLastColumn="0"/>
        </w:trPr>
        <w:tc>
          <w:tcPr>
            <w:tcW w:w="1595" w:type="pct"/>
          </w:tcPr>
          <w:p w14:paraId="35E1875F" w14:textId="77777777"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All non-scheduled units and loads with appropriate metering</w:t>
            </w:r>
          </w:p>
        </w:tc>
        <w:tc>
          <w:tcPr>
            <w:tcW w:w="1392" w:type="pct"/>
          </w:tcPr>
          <w:p w14:paraId="28131DC2" w14:textId="462F74CE"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Area Metered non-scheduled unit total (</w:t>
            </w:r>
            <w:r w:rsidR="00EA78B3">
              <w:rPr>
                <w:rFonts w:asciiTheme="majorHAnsi" w:eastAsiaTheme="minorHAnsi" w:hAnsiTheme="majorHAnsi" w:cstheme="majorHAnsi"/>
                <w:sz w:val="18"/>
                <w:szCs w:val="18"/>
              </w:rPr>
              <w:t>A</w:t>
            </w:r>
            <w:r w:rsidRPr="00A7158E">
              <w:rPr>
                <w:rFonts w:asciiTheme="majorHAnsi" w:eastAsiaTheme="minorHAnsi" w:hAnsiTheme="majorHAnsi" w:cstheme="majorHAnsi"/>
                <w:sz w:val="18"/>
                <w:szCs w:val="18"/>
              </w:rPr>
              <w:t>MNSTOT)</w:t>
            </w:r>
          </w:p>
        </w:tc>
        <w:tc>
          <w:tcPr>
            <w:tcW w:w="2013" w:type="pct"/>
            <w:vAlign w:val="center"/>
          </w:tcPr>
          <w:p w14:paraId="00695194" w14:textId="10192237" w:rsidR="00A7158E" w:rsidRPr="00A7158E" w:rsidRDefault="00A7158E" w:rsidP="00A7158E">
            <w:pPr>
              <w:spacing w:before="60" w:after="60" w:line="259" w:lineRule="auto"/>
              <w:jc w:val="left"/>
              <w:rPr>
                <w:rFonts w:asciiTheme="majorHAnsi" w:eastAsiaTheme="minorHAnsi" w:hAnsiTheme="majorHAnsi" w:cstheme="majorHAnsi"/>
                <w:sz w:val="18"/>
                <w:szCs w:val="18"/>
              </w:rPr>
            </w:pPr>
            <w:bookmarkStart w:id="66" w:name="_Ref474510024"/>
            <w:r w:rsidRPr="00A7158E">
              <w:rPr>
                <w:rFonts w:asciiTheme="majorHAnsi" w:eastAsiaTheme="minorHAnsi" w:hAnsiTheme="majorHAnsi" w:cstheme="majorHAnsi"/>
                <w:b/>
                <w:sz w:val="18"/>
                <w:szCs w:val="18"/>
              </w:rPr>
              <w:t xml:space="preserve">EQ. </w:t>
            </w:r>
            <w:r w:rsidRPr="00A7158E">
              <w:rPr>
                <w:rFonts w:asciiTheme="majorHAnsi" w:eastAsiaTheme="minorHAnsi" w:hAnsiTheme="majorHAnsi" w:cstheme="majorHAnsi"/>
                <w:b/>
                <w:sz w:val="18"/>
                <w:szCs w:val="18"/>
              </w:rPr>
              <w:fldChar w:fldCharType="begin"/>
            </w:r>
            <w:r w:rsidRPr="00A7158E">
              <w:rPr>
                <w:rFonts w:asciiTheme="majorHAnsi" w:eastAsiaTheme="minorHAnsi" w:hAnsiTheme="majorHAnsi" w:cstheme="majorHAnsi"/>
                <w:b/>
                <w:sz w:val="18"/>
                <w:szCs w:val="18"/>
              </w:rPr>
              <w:instrText xml:space="preserve"> SEQ Eq. \* ARABIC </w:instrText>
            </w:r>
            <w:r w:rsidRPr="00A7158E">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21</w:t>
            </w:r>
            <w:r w:rsidRPr="00A7158E">
              <w:rPr>
                <w:rFonts w:asciiTheme="majorHAnsi" w:eastAsiaTheme="minorHAnsi" w:hAnsiTheme="majorHAnsi" w:cstheme="majorHAnsi"/>
                <w:b/>
                <w:sz w:val="18"/>
                <w:szCs w:val="18"/>
              </w:rPr>
              <w:fldChar w:fldCharType="end"/>
            </w:r>
            <w:bookmarkEnd w:id="66"/>
            <w:r w:rsidRPr="00A7158E">
              <w:rPr>
                <w:rFonts w:asciiTheme="majorHAnsi" w:eastAsiaTheme="minorHAnsi" w:hAnsiTheme="majorHAnsi" w:cstheme="majorHAnsi"/>
                <w:b/>
                <w:sz w:val="18"/>
                <w:szCs w:val="18"/>
              </w:rPr>
              <w:tab/>
            </w:r>
            <w:r w:rsidRPr="00A7158E">
              <w:rPr>
                <w:rFonts w:asciiTheme="majorHAnsi" w:eastAsiaTheme="minorHAnsi" w:hAnsiTheme="majorHAnsi" w:cstheme="majorHAnsi"/>
                <w:b/>
                <w:sz w:val="18"/>
                <w:szCs w:val="18"/>
              </w:rPr>
              <w:tab/>
            </w:r>
            <m:oMath>
              <m:r>
                <m:rPr>
                  <m:sty m:val="bi"/>
                </m:rPr>
                <w:rPr>
                  <w:rFonts w:ascii="Cambria Math" w:eastAsiaTheme="minorHAnsi" w:hAnsi="Cambria Math" w:cstheme="majorHAnsi"/>
                  <w:sz w:val="18"/>
                  <w:szCs w:val="18"/>
                </w:rPr>
                <m:t>A</m:t>
              </m:r>
              <m:r>
                <w:rPr>
                  <w:rFonts w:ascii="Cambria Math" w:eastAsiaTheme="minorHAnsi" w:hAnsi="Cambria Math" w:cstheme="majorHAnsi"/>
                  <w:sz w:val="18"/>
                  <w:szCs w:val="18"/>
                </w:rPr>
                <m:t xml:space="preserve">MNSTOT= </m:t>
              </m:r>
              <m:nary>
                <m:naryPr>
                  <m:chr m:val="∑"/>
                  <m:limLoc m:val="undOvr"/>
                  <m:subHide m:val="1"/>
                  <m:supHide m:val="1"/>
                  <m:ctrlPr>
                    <w:rPr>
                      <w:rFonts w:ascii="Cambria Math" w:eastAsiaTheme="minorHAnsi" w:hAnsi="Cambria Math" w:cstheme="majorHAnsi"/>
                      <w:i/>
                      <w:sz w:val="18"/>
                      <w:szCs w:val="18"/>
                    </w:rPr>
                  </m:ctrlPr>
                </m:naryPr>
                <m:sub/>
                <m:sup/>
                <m:e>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APF</m:t>
                      </m:r>
                    </m:e>
                    <m:sub>
                      <m:r>
                        <w:rPr>
                          <w:rFonts w:ascii="Cambria Math" w:eastAsiaTheme="minorHAnsi" w:hAnsi="Cambria Math" w:cstheme="majorHAnsi"/>
                          <w:sz w:val="18"/>
                          <w:szCs w:val="18"/>
                        </w:rPr>
                        <m:t>NS</m:t>
                      </m:r>
                    </m:sub>
                  </m:sSub>
                </m:e>
              </m:nary>
            </m:oMath>
          </w:p>
        </w:tc>
      </w:tr>
      <w:tr w:rsidR="00A7158E" w:rsidRPr="00A7158E" w14:paraId="4D77CDA1" w14:textId="77777777" w:rsidTr="00436DAB">
        <w:trPr>
          <w:cnfStyle w:val="000000100000" w:firstRow="0" w:lastRow="0" w:firstColumn="0" w:lastColumn="0" w:oddVBand="0" w:evenVBand="0" w:oddHBand="1" w:evenHBand="0" w:firstRowFirstColumn="0" w:firstRowLastColumn="0" w:lastRowFirstColumn="0" w:lastRowLastColumn="0"/>
        </w:trPr>
        <w:tc>
          <w:tcPr>
            <w:tcW w:w="1595" w:type="pct"/>
          </w:tcPr>
          <w:p w14:paraId="277A28A1" w14:textId="77777777"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Demand (representing the non-linearity component)</w:t>
            </w:r>
          </w:p>
        </w:tc>
        <w:tc>
          <w:tcPr>
            <w:tcW w:w="1392" w:type="pct"/>
          </w:tcPr>
          <w:p w14:paraId="14756BDA" w14:textId="77777777"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Area deviation factor (ADF)</w:t>
            </w:r>
          </w:p>
        </w:tc>
        <w:tc>
          <w:tcPr>
            <w:tcW w:w="2013" w:type="pct"/>
            <w:vAlign w:val="center"/>
          </w:tcPr>
          <w:p w14:paraId="77B748FB" w14:textId="55340AAE"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b/>
                <w:sz w:val="18"/>
                <w:szCs w:val="18"/>
              </w:rPr>
              <w:t xml:space="preserve">EQ. </w:t>
            </w:r>
            <w:r w:rsidRPr="00A7158E">
              <w:rPr>
                <w:rFonts w:asciiTheme="majorHAnsi" w:eastAsiaTheme="minorHAnsi" w:hAnsiTheme="majorHAnsi" w:cstheme="majorHAnsi"/>
                <w:b/>
                <w:sz w:val="18"/>
                <w:szCs w:val="18"/>
              </w:rPr>
              <w:fldChar w:fldCharType="begin"/>
            </w:r>
            <w:r w:rsidRPr="00A7158E">
              <w:rPr>
                <w:rFonts w:asciiTheme="majorHAnsi" w:eastAsiaTheme="minorHAnsi" w:hAnsiTheme="majorHAnsi" w:cstheme="majorHAnsi"/>
                <w:b/>
                <w:sz w:val="18"/>
                <w:szCs w:val="18"/>
              </w:rPr>
              <w:instrText xml:space="preserve"> SEQ Eq. \* ARABIC </w:instrText>
            </w:r>
            <w:r w:rsidRPr="00A7158E">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22</w:t>
            </w:r>
            <w:r w:rsidRPr="00A7158E">
              <w:rPr>
                <w:rFonts w:asciiTheme="majorHAnsi" w:eastAsiaTheme="minorHAnsi" w:hAnsiTheme="majorHAnsi" w:cstheme="majorHAnsi"/>
                <w:b/>
                <w:sz w:val="18"/>
                <w:szCs w:val="18"/>
              </w:rPr>
              <w:fldChar w:fldCharType="end"/>
            </w:r>
            <w:r w:rsidRPr="00A7158E">
              <w:rPr>
                <w:rFonts w:asciiTheme="majorHAnsi" w:eastAsiaTheme="minorHAnsi" w:hAnsiTheme="majorHAnsi" w:cstheme="majorHAnsi"/>
                <w:b/>
                <w:sz w:val="18"/>
                <w:szCs w:val="18"/>
              </w:rPr>
              <w:tab/>
            </w:r>
            <w:r w:rsidRPr="00A7158E">
              <w:rPr>
                <w:rFonts w:asciiTheme="majorHAnsi" w:eastAsiaTheme="minorHAnsi" w:hAnsiTheme="majorHAnsi" w:cstheme="majorHAnsi"/>
                <w:b/>
                <w:sz w:val="18"/>
                <w:szCs w:val="18"/>
              </w:rPr>
              <w:tab/>
            </w:r>
            <m:oMath>
              <m:r>
                <w:rPr>
                  <w:rFonts w:ascii="Cambria Math" w:eastAsiaTheme="minorHAnsi" w:hAnsi="Cambria Math" w:cstheme="majorHAnsi"/>
                  <w:sz w:val="18"/>
                  <w:szCs w:val="18"/>
                </w:rPr>
                <m:t xml:space="preserve">ADF= </m:t>
              </m:r>
              <m:r>
                <m:rPr>
                  <m:sty m:val="p"/>
                </m:rPr>
                <w:rPr>
                  <w:rFonts w:ascii="Cambria Math" w:eastAsiaTheme="minorHAnsi" w:hAnsi="Cambria Math" w:cstheme="majorHAnsi"/>
                  <w:sz w:val="18"/>
                  <w:szCs w:val="18"/>
                </w:rPr>
                <m:t>min⁡</m:t>
              </m:r>
              <m:r>
                <w:rPr>
                  <w:rFonts w:ascii="Cambria Math" w:eastAsiaTheme="minorHAnsi" w:hAnsi="Cambria Math" w:cstheme="majorHAnsi"/>
                  <w:sz w:val="18"/>
                  <w:szCs w:val="18"/>
                </w:rPr>
                <m:t xml:space="preserve">(0, </m:t>
              </m:r>
              <m:nary>
                <m:naryPr>
                  <m:chr m:val="∑"/>
                  <m:limLoc m:val="undOvr"/>
                  <m:subHide m:val="1"/>
                  <m:supHide m:val="1"/>
                  <m:ctrlPr>
                    <w:rPr>
                      <w:rFonts w:ascii="Cambria Math" w:eastAsiaTheme="minorHAnsi" w:hAnsi="Cambria Math" w:cstheme="majorHAnsi"/>
                      <w:i/>
                      <w:sz w:val="18"/>
                      <w:szCs w:val="18"/>
                    </w:rPr>
                  </m:ctrlPr>
                </m:naryPr>
                <m:sub/>
                <m:sup/>
                <m:e>
                  <m:r>
                    <w:rPr>
                      <w:rFonts w:ascii="Cambria Math" w:eastAsiaTheme="minorHAnsi" w:hAnsi="Cambria Math" w:cstheme="majorHAnsi"/>
                      <w:sz w:val="18"/>
                      <w:szCs w:val="18"/>
                    </w:rPr>
                    <m:t>A</m:t>
                  </m:r>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PF</m:t>
                      </m:r>
                    </m:e>
                    <m:sub>
                      <m:r>
                        <w:rPr>
                          <w:rFonts w:ascii="Cambria Math" w:eastAsiaTheme="minorHAnsi" w:hAnsi="Cambria Math" w:cstheme="majorHAnsi"/>
                          <w:sz w:val="18"/>
                          <w:szCs w:val="18"/>
                        </w:rPr>
                        <m:t>DG</m:t>
                      </m:r>
                    </m:sub>
                  </m:sSub>
                  <m:r>
                    <w:rPr>
                      <w:rFonts w:ascii="Cambria Math" w:eastAsiaTheme="minorHAnsi" w:hAnsi="Cambria Math" w:cstheme="majorHAnsi"/>
                      <w:sz w:val="18"/>
                      <w:szCs w:val="18"/>
                    </w:rPr>
                    <m:t>)</m:t>
                  </m:r>
                </m:e>
              </m:nary>
            </m:oMath>
          </w:p>
        </w:tc>
      </w:tr>
      <w:tr w:rsidR="00A7158E" w:rsidRPr="00A7158E" w14:paraId="11D02451" w14:textId="77777777" w:rsidTr="00436DAB">
        <w:trPr>
          <w:cnfStyle w:val="000000010000" w:firstRow="0" w:lastRow="0" w:firstColumn="0" w:lastColumn="0" w:oddVBand="0" w:evenVBand="0" w:oddHBand="0" w:evenHBand="1" w:firstRowFirstColumn="0" w:firstRowLastColumn="0" w:lastRowFirstColumn="0" w:lastRowLastColumn="0"/>
        </w:trPr>
        <w:tc>
          <w:tcPr>
            <w:tcW w:w="1595" w:type="pct"/>
          </w:tcPr>
          <w:p w14:paraId="08186A7D" w14:textId="77777777"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Demand (representing forecasting error component)</w:t>
            </w:r>
          </w:p>
        </w:tc>
        <w:tc>
          <w:tcPr>
            <w:tcW w:w="1392" w:type="pct"/>
          </w:tcPr>
          <w:p w14:paraId="2BB9FE73" w14:textId="77777777"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sz w:val="18"/>
                <w:szCs w:val="18"/>
              </w:rPr>
              <w:t>Area forecast error factor (AFF)</w:t>
            </w:r>
          </w:p>
        </w:tc>
        <w:tc>
          <w:tcPr>
            <w:tcW w:w="2013" w:type="pct"/>
            <w:vAlign w:val="center"/>
          </w:tcPr>
          <w:p w14:paraId="19634EBB" w14:textId="25D4FDBE" w:rsidR="00A7158E" w:rsidRPr="00A7158E" w:rsidRDefault="00A7158E" w:rsidP="00A7158E">
            <w:pPr>
              <w:spacing w:before="60" w:after="60" w:line="259" w:lineRule="auto"/>
              <w:jc w:val="left"/>
              <w:rPr>
                <w:rFonts w:asciiTheme="majorHAnsi" w:eastAsiaTheme="minorHAnsi" w:hAnsiTheme="majorHAnsi" w:cstheme="majorHAnsi"/>
                <w:sz w:val="18"/>
                <w:szCs w:val="18"/>
              </w:rPr>
            </w:pPr>
            <w:r w:rsidRPr="00A7158E">
              <w:rPr>
                <w:rFonts w:asciiTheme="majorHAnsi" w:eastAsiaTheme="minorHAnsi" w:hAnsiTheme="majorHAnsi" w:cstheme="majorHAnsi"/>
                <w:b/>
                <w:sz w:val="18"/>
                <w:szCs w:val="18"/>
              </w:rPr>
              <w:t xml:space="preserve">EQ. </w:t>
            </w:r>
            <w:r w:rsidRPr="00A7158E">
              <w:rPr>
                <w:rFonts w:asciiTheme="majorHAnsi" w:eastAsiaTheme="minorHAnsi" w:hAnsiTheme="majorHAnsi" w:cstheme="majorHAnsi"/>
                <w:b/>
                <w:sz w:val="18"/>
                <w:szCs w:val="18"/>
              </w:rPr>
              <w:fldChar w:fldCharType="begin"/>
            </w:r>
            <w:r w:rsidRPr="00A7158E">
              <w:rPr>
                <w:rFonts w:asciiTheme="majorHAnsi" w:eastAsiaTheme="minorHAnsi" w:hAnsiTheme="majorHAnsi" w:cstheme="majorHAnsi"/>
                <w:b/>
                <w:sz w:val="18"/>
                <w:szCs w:val="18"/>
              </w:rPr>
              <w:instrText xml:space="preserve"> SEQ Eq. \* ARABIC </w:instrText>
            </w:r>
            <w:r w:rsidRPr="00A7158E">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23</w:t>
            </w:r>
            <w:r w:rsidRPr="00A7158E">
              <w:rPr>
                <w:rFonts w:asciiTheme="majorHAnsi" w:eastAsiaTheme="minorHAnsi" w:hAnsiTheme="majorHAnsi" w:cstheme="majorHAnsi"/>
                <w:b/>
                <w:sz w:val="18"/>
                <w:szCs w:val="18"/>
              </w:rPr>
              <w:fldChar w:fldCharType="end"/>
            </w:r>
            <w:r w:rsidRPr="00A7158E">
              <w:rPr>
                <w:rFonts w:asciiTheme="majorHAnsi" w:eastAsiaTheme="minorHAnsi" w:hAnsiTheme="majorHAnsi" w:cstheme="majorHAnsi"/>
                <w:b/>
                <w:sz w:val="18"/>
                <w:szCs w:val="18"/>
              </w:rPr>
              <w:tab/>
            </w:r>
            <w:r w:rsidRPr="00A7158E">
              <w:rPr>
                <w:rFonts w:asciiTheme="majorHAnsi" w:eastAsiaTheme="minorHAnsi" w:hAnsiTheme="majorHAnsi" w:cstheme="majorHAnsi"/>
                <w:b/>
                <w:sz w:val="18"/>
                <w:szCs w:val="18"/>
              </w:rPr>
              <w:tab/>
            </w:r>
            <m:oMath>
              <m:r>
                <w:rPr>
                  <w:rFonts w:ascii="Cambria Math" w:eastAsiaTheme="minorHAnsi" w:hAnsi="Cambria Math" w:cstheme="majorHAnsi"/>
                  <w:sz w:val="18"/>
                  <w:szCs w:val="18"/>
                </w:rPr>
                <m:t xml:space="preserve">AFF= </m:t>
              </m:r>
              <m:r>
                <m:rPr>
                  <m:sty m:val="p"/>
                </m:rPr>
                <w:rPr>
                  <w:rFonts w:ascii="Cambria Math" w:eastAsiaTheme="minorHAnsi" w:hAnsi="Cambria Math" w:cstheme="majorHAnsi"/>
                  <w:sz w:val="18"/>
                  <w:szCs w:val="18"/>
                </w:rPr>
                <m:t>min⁡</m:t>
              </m:r>
              <m:r>
                <w:rPr>
                  <w:rFonts w:ascii="Cambria Math" w:eastAsiaTheme="minorHAnsi" w:hAnsi="Cambria Math" w:cstheme="majorHAnsi"/>
                  <w:sz w:val="18"/>
                  <w:szCs w:val="18"/>
                </w:rPr>
                <m:t>(0,</m:t>
              </m:r>
              <m:nary>
                <m:naryPr>
                  <m:chr m:val="∑"/>
                  <m:limLoc m:val="undOvr"/>
                  <m:subHide m:val="1"/>
                  <m:supHide m:val="1"/>
                  <m:ctrlPr>
                    <w:rPr>
                      <w:rFonts w:ascii="Cambria Math" w:eastAsiaTheme="minorHAnsi" w:hAnsi="Cambria Math" w:cstheme="majorHAnsi"/>
                      <w:i/>
                      <w:sz w:val="18"/>
                      <w:szCs w:val="18"/>
                    </w:rPr>
                  </m:ctrlPr>
                </m:naryPr>
                <m:sub/>
                <m:sup/>
                <m:e>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APF</m:t>
                      </m:r>
                    </m:e>
                    <m:sub>
                      <m:r>
                        <w:rPr>
                          <w:rFonts w:ascii="Cambria Math" w:eastAsiaTheme="minorHAnsi" w:hAnsi="Cambria Math" w:cstheme="majorHAnsi"/>
                          <w:sz w:val="18"/>
                          <w:szCs w:val="18"/>
                        </w:rPr>
                        <m:t>FE</m:t>
                      </m:r>
                    </m:sub>
                  </m:sSub>
                  <m:r>
                    <w:rPr>
                      <w:rFonts w:ascii="Cambria Math" w:eastAsiaTheme="minorHAnsi" w:hAnsi="Cambria Math" w:cstheme="majorHAnsi"/>
                      <w:sz w:val="18"/>
                      <w:szCs w:val="18"/>
                    </w:rPr>
                    <m:t>)</m:t>
                  </m:r>
                </m:e>
              </m:nary>
            </m:oMath>
          </w:p>
        </w:tc>
      </w:tr>
    </w:tbl>
    <w:p w14:paraId="1F6DBC43" w14:textId="20A845A5" w:rsidR="00A7158E" w:rsidRDefault="00A7158E" w:rsidP="00A7158E">
      <w:pPr>
        <w:pStyle w:val="Heading2"/>
      </w:pPr>
      <w:bookmarkStart w:id="67" w:name="_Toc508896717"/>
      <w:r>
        <w:t>Calculate Additional Derived Totals</w:t>
      </w:r>
      <w:bookmarkEnd w:id="67"/>
    </w:p>
    <w:p w14:paraId="76BEAB30" w14:textId="61573A43" w:rsidR="00A7158E" w:rsidRDefault="00A7158E" w:rsidP="00A7158E">
      <w:pPr>
        <w:pStyle w:val="ResetPara"/>
      </w:pPr>
    </w:p>
    <w:p w14:paraId="6976D6AC" w14:textId="65AF2BA7" w:rsidR="00A7158E" w:rsidRPr="008E4E21" w:rsidRDefault="00A7158E" w:rsidP="00A7158E">
      <w:pPr>
        <w:pStyle w:val="Lista"/>
      </w:pPr>
      <w:r>
        <w:t xml:space="preserve">The area totals calculated in </w:t>
      </w:r>
      <w:r w:rsidR="004220A7">
        <w:t>clause</w:t>
      </w:r>
      <w:r w:rsidRPr="008E4E21">
        <w:t xml:space="preserve"> </w:t>
      </w:r>
      <w:r w:rsidR="00AB1114">
        <w:fldChar w:fldCharType="begin"/>
      </w:r>
      <w:r w:rsidR="00AB1114">
        <w:instrText xml:space="preserve"> REF _Ref508956055 \r \h </w:instrText>
      </w:r>
      <w:r w:rsidR="00AB1114">
        <w:fldChar w:fldCharType="separate"/>
      </w:r>
      <w:r w:rsidR="003E2BF7">
        <w:t>7.3</w:t>
      </w:r>
      <w:r w:rsidR="00AB1114">
        <w:fldChar w:fldCharType="end"/>
      </w:r>
      <w:r w:rsidRPr="008E4E21">
        <w:t xml:space="preserve"> are processed into a collection of derived values to allow the area forecasting error </w:t>
      </w:r>
      <w:r>
        <w:t xml:space="preserve">factor </w:t>
      </w:r>
      <w:r w:rsidRPr="008E4E21">
        <w:t xml:space="preserve">(AFF) and the area deviation factor (ADF) to be allocated appropriately between </w:t>
      </w:r>
      <w:r>
        <w:t xml:space="preserve">appropriately metered </w:t>
      </w:r>
      <w:r w:rsidRPr="008E4E21">
        <w:t xml:space="preserve">and </w:t>
      </w:r>
      <w:r w:rsidRPr="00D83CFF">
        <w:t>non-</w:t>
      </w:r>
      <w:r w:rsidR="006B0231">
        <w:t xml:space="preserve">appropriately </w:t>
      </w:r>
      <w:r w:rsidRPr="00D83CFF">
        <w:t>metered</w:t>
      </w:r>
      <w:r w:rsidRPr="008E4E21">
        <w:t xml:space="preserve"> </w:t>
      </w:r>
      <w:r w:rsidR="006B0231">
        <w:rPr>
          <w:i/>
        </w:rPr>
        <w:t xml:space="preserve">non-scheduled </w:t>
      </w:r>
      <w:r w:rsidRPr="008E4E21">
        <w:rPr>
          <w:i/>
        </w:rPr>
        <w:t>generating units</w:t>
      </w:r>
      <w:r w:rsidRPr="008E4E21">
        <w:t xml:space="preserve"> and </w:t>
      </w:r>
      <w:r w:rsidRPr="008E4E21">
        <w:rPr>
          <w:i/>
        </w:rPr>
        <w:t>loads</w:t>
      </w:r>
      <w:r w:rsidRPr="008E4E21">
        <w:t xml:space="preserve">. </w:t>
      </w:r>
    </w:p>
    <w:p w14:paraId="0F166692" w14:textId="59D9DCD0" w:rsidR="00A7158E" w:rsidRPr="008E4E21" w:rsidRDefault="00A7158E" w:rsidP="00A7158E">
      <w:pPr>
        <w:pStyle w:val="Lista"/>
      </w:pPr>
      <w:r w:rsidRPr="008E4E21">
        <w:t xml:space="preserve">The contribution of </w:t>
      </w:r>
      <w:r w:rsidR="00D83CFF">
        <w:t>appropriately metered</w:t>
      </w:r>
      <w:r w:rsidRPr="008E4E21">
        <w:rPr>
          <w:i/>
        </w:rPr>
        <w:t xml:space="preserve"> </w:t>
      </w:r>
      <w:r w:rsidR="006B0231">
        <w:rPr>
          <w:i/>
        </w:rPr>
        <w:t xml:space="preserve">non-scheduled </w:t>
      </w:r>
      <w:r w:rsidRPr="008E4E21">
        <w:rPr>
          <w:i/>
        </w:rPr>
        <w:t>generating units and loads</w:t>
      </w:r>
      <w:r w:rsidRPr="008E4E21">
        <w:t xml:space="preserve"> towards the area deviation factor is already known from </w:t>
      </w:r>
      <w:r w:rsidRPr="008E4E21">
        <w:fldChar w:fldCharType="begin"/>
      </w:r>
      <w:r w:rsidRPr="008E4E21">
        <w:instrText xml:space="preserve"> REF _Ref474510024 \h  \* MERGEFORMAT </w:instrText>
      </w:r>
      <w:r w:rsidRPr="008E4E21">
        <w:fldChar w:fldCharType="separate"/>
      </w:r>
      <w:r w:rsidR="003E2BF7" w:rsidRPr="00CD5358">
        <w:t xml:space="preserve">EQ. </w:t>
      </w:r>
      <w:r w:rsidR="003E2BF7" w:rsidRPr="00CD5358">
        <w:rPr>
          <w:noProof/>
        </w:rPr>
        <w:t>21</w:t>
      </w:r>
      <w:r w:rsidRPr="008E4E21">
        <w:fldChar w:fldCharType="end"/>
      </w:r>
      <w:r w:rsidRPr="008E4E21">
        <w:t xml:space="preserve"> (</w:t>
      </w:r>
      <w:r w:rsidR="00EA78B3">
        <w:t>A</w:t>
      </w:r>
      <w:r w:rsidRPr="008E4E21">
        <w:t xml:space="preserve">MNSTOT). The residual component attributable to </w:t>
      </w:r>
      <w:r w:rsidRPr="00D83CFF">
        <w:t>non-</w:t>
      </w:r>
      <w:r w:rsidR="00D83CFF">
        <w:t xml:space="preserve">appropriately </w:t>
      </w:r>
      <w:r w:rsidRPr="00D83CFF">
        <w:t>metered</w:t>
      </w:r>
      <w:r w:rsidRPr="008E4E21">
        <w:rPr>
          <w:i/>
        </w:rPr>
        <w:t xml:space="preserve"> generating units and loads</w:t>
      </w:r>
      <w:r w:rsidRPr="008E4E21">
        <w:t xml:space="preserve"> can be calculated by:</w:t>
      </w:r>
    </w:p>
    <w:p w14:paraId="69699999" w14:textId="6D19F093" w:rsidR="00A7158E" w:rsidRPr="008E4E21" w:rsidRDefault="00A7158E" w:rsidP="00D83CFF">
      <w:pPr>
        <w:pStyle w:val="ParaFlw1"/>
      </w:pPr>
      <w:r w:rsidRPr="008E4E21">
        <w:rPr>
          <w:b/>
        </w:rPr>
        <w:t xml:space="preserve">EQ. </w:t>
      </w:r>
      <w:r w:rsidRPr="008E4E21">
        <w:rPr>
          <w:b/>
        </w:rPr>
        <w:fldChar w:fldCharType="begin"/>
      </w:r>
      <w:r w:rsidRPr="008E4E21">
        <w:rPr>
          <w:b/>
        </w:rPr>
        <w:instrText xml:space="preserve"> SEQ Eq. \* ARABIC </w:instrText>
      </w:r>
      <w:r w:rsidRPr="008E4E21">
        <w:rPr>
          <w:b/>
        </w:rPr>
        <w:fldChar w:fldCharType="separate"/>
      </w:r>
      <w:r w:rsidR="003E2BF7">
        <w:rPr>
          <w:b/>
          <w:noProof/>
        </w:rPr>
        <w:t>24</w:t>
      </w:r>
      <w:r w:rsidRPr="008E4E21">
        <w:rPr>
          <w:b/>
        </w:rPr>
        <w:fldChar w:fldCharType="end"/>
      </w:r>
      <w:r w:rsidRPr="008E4E21">
        <w:rPr>
          <w:b/>
        </w:rPr>
        <w:tab/>
      </w:r>
      <w:r w:rsidRPr="008E4E21">
        <w:rPr>
          <w:b/>
        </w:rPr>
        <w:tab/>
      </w:r>
      <w:r w:rsidRPr="008E4E21">
        <w:t xml:space="preserve"> </w:t>
      </w:r>
      <m:oMath>
        <m:r>
          <w:rPr>
            <w:rFonts w:ascii="Cambria Math" w:hAnsi="Cambria Math"/>
          </w:rPr>
          <m:t>ADRF= ADF-AMNSTOT</m:t>
        </m:r>
      </m:oMath>
    </w:p>
    <w:p w14:paraId="13366305" w14:textId="66AAEBF4" w:rsidR="00A7158E" w:rsidRPr="008E4E21" w:rsidRDefault="00A7158E" w:rsidP="00A7158E">
      <w:pPr>
        <w:pStyle w:val="Lista"/>
      </w:pPr>
      <w:r w:rsidRPr="008E4E21">
        <w:lastRenderedPageBreak/>
        <w:t xml:space="preserve">The same ratio can be used to divide the area forecast error factor (AFF) between </w:t>
      </w:r>
      <w:r w:rsidR="006B0231">
        <w:t xml:space="preserve">appropriately </w:t>
      </w:r>
      <w:r w:rsidRPr="008E4E21">
        <w:t>metered and non-</w:t>
      </w:r>
      <w:r w:rsidR="006B0231">
        <w:t xml:space="preserve">appropriately </w:t>
      </w:r>
      <w:r w:rsidRPr="008E4E21">
        <w:t>metered generating units and loads as follows:</w:t>
      </w:r>
    </w:p>
    <w:p w14:paraId="28816187" w14:textId="5CEE37A8" w:rsidR="00A7158E" w:rsidRPr="008E4E21" w:rsidRDefault="00A7158E" w:rsidP="00D83CFF">
      <w:pPr>
        <w:pStyle w:val="ParaFlw1"/>
        <w:rPr>
          <w:rFonts w:asciiTheme="majorHAnsi" w:hAnsiTheme="majorHAnsi"/>
        </w:rPr>
      </w:pPr>
      <w:r w:rsidRPr="008E4E21">
        <w:rPr>
          <w:rFonts w:asciiTheme="majorHAnsi" w:hAnsiTheme="majorHAnsi"/>
          <w:b/>
        </w:rPr>
        <w:t xml:space="preserve">EQ. </w:t>
      </w:r>
      <w:r w:rsidRPr="008E4E21">
        <w:rPr>
          <w:rFonts w:asciiTheme="majorHAnsi" w:hAnsiTheme="majorHAnsi"/>
          <w:b/>
        </w:rPr>
        <w:fldChar w:fldCharType="begin"/>
      </w:r>
      <w:r w:rsidRPr="008E4E21">
        <w:rPr>
          <w:rFonts w:asciiTheme="majorHAnsi" w:hAnsiTheme="majorHAnsi"/>
          <w:b/>
        </w:rPr>
        <w:instrText xml:space="preserve"> SEQ Eq. \* ARABIC </w:instrText>
      </w:r>
      <w:r w:rsidRPr="008E4E21">
        <w:rPr>
          <w:rFonts w:asciiTheme="majorHAnsi" w:hAnsiTheme="majorHAnsi"/>
          <w:b/>
        </w:rPr>
        <w:fldChar w:fldCharType="separate"/>
      </w:r>
      <w:r w:rsidR="003E2BF7">
        <w:rPr>
          <w:rFonts w:asciiTheme="majorHAnsi" w:hAnsiTheme="majorHAnsi"/>
          <w:b/>
          <w:noProof/>
        </w:rPr>
        <w:t>25</w:t>
      </w:r>
      <w:r w:rsidRPr="008E4E21">
        <w:rPr>
          <w:rFonts w:asciiTheme="majorHAnsi" w:hAnsiTheme="majorHAnsi"/>
          <w:b/>
        </w:rPr>
        <w:fldChar w:fldCharType="end"/>
      </w:r>
      <w:r w:rsidRPr="008E4E21">
        <w:rPr>
          <w:rFonts w:asciiTheme="majorHAnsi" w:hAnsiTheme="majorHAnsi"/>
          <w:b/>
        </w:rPr>
        <w:tab/>
      </w:r>
      <w:r w:rsidRPr="008E4E21">
        <w:rPr>
          <w:rFonts w:asciiTheme="majorHAnsi" w:hAnsiTheme="majorHAnsi"/>
          <w:b/>
        </w:rPr>
        <w:tab/>
      </w:r>
      <w:r w:rsidRPr="008E4E21">
        <w:rPr>
          <w:rFonts w:asciiTheme="majorHAnsi" w:hAnsiTheme="majorHAnsi"/>
        </w:rPr>
        <w:t xml:space="preserve"> </w:t>
      </w:r>
      <m:oMath>
        <m:r>
          <w:rPr>
            <w:rFonts w:ascii="Cambria Math" w:hAnsi="Cambria Math"/>
          </w:rPr>
          <m:t>AFMNS</m:t>
        </m:r>
        <m:r>
          <m:rPr>
            <m:sty m:val="p"/>
          </m:rPr>
          <w:rPr>
            <w:rFonts w:ascii="Cambria Math" w:hAnsi="Cambria Math"/>
          </w:rPr>
          <m:t xml:space="preserve">= </m:t>
        </m:r>
        <m:r>
          <w:rPr>
            <w:rFonts w:ascii="Cambria Math" w:hAnsi="Cambria Math"/>
          </w:rPr>
          <m:t>AFF</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MNSTOT</m:t>
                </m:r>
              </m:num>
              <m:den>
                <m:r>
                  <w:rPr>
                    <w:rFonts w:ascii="Cambria Math" w:hAnsi="Cambria Math"/>
                  </w:rPr>
                  <m:t>ADF</m:t>
                </m:r>
              </m:den>
            </m:f>
          </m:e>
        </m:d>
      </m:oMath>
    </w:p>
    <w:p w14:paraId="0687400E" w14:textId="2ABCE5E4" w:rsidR="00A7158E" w:rsidRPr="008E4E21" w:rsidRDefault="00A7158E" w:rsidP="00D83CFF">
      <w:pPr>
        <w:pStyle w:val="ParaFlw1"/>
        <w:rPr>
          <w:rFonts w:asciiTheme="majorHAnsi" w:hAnsiTheme="majorHAnsi"/>
        </w:rPr>
      </w:pPr>
      <w:r w:rsidRPr="008E4E21">
        <w:rPr>
          <w:rFonts w:asciiTheme="majorHAnsi" w:hAnsiTheme="majorHAnsi"/>
          <w:b/>
        </w:rPr>
        <w:t xml:space="preserve">EQ. </w:t>
      </w:r>
      <w:r w:rsidRPr="008E4E21">
        <w:rPr>
          <w:rFonts w:asciiTheme="majorHAnsi" w:hAnsiTheme="majorHAnsi"/>
          <w:b/>
        </w:rPr>
        <w:fldChar w:fldCharType="begin"/>
      </w:r>
      <w:r w:rsidRPr="008E4E21">
        <w:rPr>
          <w:rFonts w:asciiTheme="majorHAnsi" w:hAnsiTheme="majorHAnsi"/>
          <w:b/>
        </w:rPr>
        <w:instrText xml:space="preserve"> SEQ Eq. \* ARABIC </w:instrText>
      </w:r>
      <w:r w:rsidRPr="008E4E21">
        <w:rPr>
          <w:rFonts w:asciiTheme="majorHAnsi" w:hAnsiTheme="majorHAnsi"/>
          <w:b/>
        </w:rPr>
        <w:fldChar w:fldCharType="separate"/>
      </w:r>
      <w:r w:rsidR="003E2BF7">
        <w:rPr>
          <w:rFonts w:asciiTheme="majorHAnsi" w:hAnsiTheme="majorHAnsi"/>
          <w:b/>
          <w:noProof/>
        </w:rPr>
        <w:t>26</w:t>
      </w:r>
      <w:r w:rsidRPr="008E4E21">
        <w:rPr>
          <w:rFonts w:asciiTheme="majorHAnsi" w:hAnsiTheme="majorHAnsi"/>
          <w:b/>
        </w:rPr>
        <w:fldChar w:fldCharType="end"/>
      </w:r>
      <w:r w:rsidRPr="008E4E21">
        <w:rPr>
          <w:rFonts w:asciiTheme="majorHAnsi" w:hAnsiTheme="majorHAnsi"/>
          <w:b/>
        </w:rPr>
        <w:tab/>
      </w:r>
      <w:r w:rsidRPr="008E4E21">
        <w:rPr>
          <w:rFonts w:asciiTheme="majorHAnsi" w:hAnsiTheme="majorHAnsi"/>
          <w:b/>
        </w:rPr>
        <w:tab/>
      </w:r>
      <w:r w:rsidRPr="008E4E21">
        <w:rPr>
          <w:rFonts w:asciiTheme="majorHAnsi" w:hAnsiTheme="majorHAnsi"/>
        </w:rPr>
        <w:t xml:space="preserve"> </w:t>
      </w:r>
      <m:oMath>
        <m:r>
          <w:rPr>
            <w:rFonts w:ascii="Cambria Math" w:hAnsi="Cambria Math"/>
          </w:rPr>
          <m:t>AFRF</m:t>
        </m:r>
        <m:r>
          <m:rPr>
            <m:sty m:val="p"/>
          </m:rPr>
          <w:rPr>
            <w:rFonts w:ascii="Cambria Math" w:hAnsi="Cambria Math"/>
          </w:rPr>
          <m:t xml:space="preserve">= </m:t>
        </m:r>
        <m:r>
          <w:rPr>
            <w:rFonts w:ascii="Cambria Math" w:hAnsi="Cambria Math"/>
          </w:rPr>
          <m:t>AFF</m:t>
        </m:r>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MNSTOT</m:t>
                </m:r>
              </m:num>
              <m:den>
                <m:r>
                  <w:rPr>
                    <w:rFonts w:ascii="Cambria Math" w:hAnsi="Cambria Math"/>
                  </w:rPr>
                  <m:t>ADF</m:t>
                </m:r>
              </m:den>
            </m:f>
          </m:e>
        </m:d>
      </m:oMath>
    </w:p>
    <w:p w14:paraId="0DB0FB8E" w14:textId="310BF747" w:rsidR="00A7158E" w:rsidRPr="008E4E21" w:rsidRDefault="00A7158E" w:rsidP="00D83CFF">
      <w:pPr>
        <w:pStyle w:val="ParaFlw1"/>
      </w:pPr>
      <w:r w:rsidRPr="008E4E21">
        <w:t xml:space="preserve">Where AFMNS represents the </w:t>
      </w:r>
      <w:r w:rsidR="006B0231">
        <w:t xml:space="preserve">appropriately metered </w:t>
      </w:r>
      <w:r w:rsidRPr="008E4E21">
        <w:rPr>
          <w:i/>
        </w:rPr>
        <w:t xml:space="preserve">non-scheduled </w:t>
      </w:r>
      <w:r w:rsidRPr="008E4E21">
        <w:t>component of AFF, and AFRF represents the residual (</w:t>
      </w:r>
      <w:r w:rsidR="006B0231">
        <w:t>not appropriately metered</w:t>
      </w:r>
      <w:r w:rsidRPr="008E4E21">
        <w:t>) component of AFF.</w:t>
      </w:r>
    </w:p>
    <w:p w14:paraId="59AF3F57" w14:textId="519893E7" w:rsidR="00A7158E" w:rsidRPr="008E4E21" w:rsidRDefault="00A7158E" w:rsidP="00A7158E">
      <w:pPr>
        <w:pStyle w:val="Lista"/>
      </w:pPr>
      <w:r w:rsidRPr="008E4E21">
        <w:t xml:space="preserve">The </w:t>
      </w:r>
      <w:r w:rsidR="006B0231">
        <w:t xml:space="preserve">appropriately </w:t>
      </w:r>
      <w:r w:rsidRPr="008E4E21">
        <w:t xml:space="preserve">metered </w:t>
      </w:r>
      <w:r w:rsidRPr="006B0231">
        <w:rPr>
          <w:i/>
        </w:rPr>
        <w:t>non-scheduled</w:t>
      </w:r>
      <w:r w:rsidRPr="008E4E21">
        <w:t xml:space="preserve"> components of AFF and ADF can now be combined into a total factor for </w:t>
      </w:r>
      <w:r w:rsidR="006B0231">
        <w:t>appropriately metered</w:t>
      </w:r>
      <w:r w:rsidRPr="008E4E21">
        <w:rPr>
          <w:i/>
        </w:rPr>
        <w:t xml:space="preserve"> non-scheduled generating units </w:t>
      </w:r>
      <w:r w:rsidRPr="006B0231">
        <w:t xml:space="preserve">and </w:t>
      </w:r>
      <w:r w:rsidRPr="008E4E21">
        <w:rPr>
          <w:i/>
        </w:rPr>
        <w:t>loads</w:t>
      </w:r>
      <w:r w:rsidRPr="008E4E21">
        <w:t xml:space="preserve"> (</w:t>
      </w:r>
      <w:r w:rsidR="00EA78B3">
        <w:t>A</w:t>
      </w:r>
      <w:r w:rsidRPr="008E4E21">
        <w:t>MNSF):</w:t>
      </w:r>
    </w:p>
    <w:p w14:paraId="331DD4C2" w14:textId="2B732081" w:rsidR="00A7158E" w:rsidRPr="008E4E21" w:rsidRDefault="00A7158E" w:rsidP="00D83CFF">
      <w:pPr>
        <w:pStyle w:val="ParaFlw1"/>
        <w:rPr>
          <w:rFonts w:asciiTheme="majorHAnsi" w:hAnsiTheme="majorHAnsi"/>
        </w:rPr>
      </w:pPr>
      <w:r w:rsidRPr="008E4E21">
        <w:rPr>
          <w:rFonts w:asciiTheme="majorHAnsi" w:hAnsiTheme="majorHAnsi"/>
          <w:b/>
        </w:rPr>
        <w:t xml:space="preserve">EQ. </w:t>
      </w:r>
      <w:r w:rsidRPr="008E4E21">
        <w:rPr>
          <w:rFonts w:asciiTheme="majorHAnsi" w:hAnsiTheme="majorHAnsi"/>
          <w:b/>
        </w:rPr>
        <w:fldChar w:fldCharType="begin"/>
      </w:r>
      <w:r w:rsidRPr="008E4E21">
        <w:rPr>
          <w:rFonts w:asciiTheme="majorHAnsi" w:hAnsiTheme="majorHAnsi"/>
          <w:b/>
        </w:rPr>
        <w:instrText xml:space="preserve"> SEQ Eq. \* ARABIC </w:instrText>
      </w:r>
      <w:r w:rsidRPr="008E4E21">
        <w:rPr>
          <w:rFonts w:asciiTheme="majorHAnsi" w:hAnsiTheme="majorHAnsi"/>
          <w:b/>
        </w:rPr>
        <w:fldChar w:fldCharType="separate"/>
      </w:r>
      <w:r w:rsidR="003E2BF7">
        <w:rPr>
          <w:rFonts w:asciiTheme="majorHAnsi" w:hAnsiTheme="majorHAnsi"/>
          <w:b/>
          <w:noProof/>
        </w:rPr>
        <w:t>27</w:t>
      </w:r>
      <w:r w:rsidRPr="008E4E21">
        <w:rPr>
          <w:rFonts w:asciiTheme="majorHAnsi" w:hAnsiTheme="majorHAnsi"/>
          <w:b/>
        </w:rPr>
        <w:fldChar w:fldCharType="end"/>
      </w:r>
      <w:r w:rsidRPr="008E4E21">
        <w:rPr>
          <w:rFonts w:asciiTheme="majorHAnsi" w:hAnsiTheme="majorHAnsi"/>
          <w:b/>
        </w:rPr>
        <w:tab/>
      </w:r>
      <w:r w:rsidRPr="008E4E21">
        <w:rPr>
          <w:rFonts w:asciiTheme="majorHAnsi" w:hAnsiTheme="majorHAnsi"/>
          <w:b/>
        </w:rPr>
        <w:tab/>
      </w:r>
      <w:r w:rsidRPr="008E4E21">
        <w:rPr>
          <w:rFonts w:asciiTheme="majorHAnsi" w:hAnsiTheme="majorHAnsi"/>
        </w:rPr>
        <w:t xml:space="preserve"> </w:t>
      </w:r>
      <m:oMath>
        <m:r>
          <w:rPr>
            <w:rFonts w:ascii="Cambria Math" w:hAnsi="Cambria Math"/>
          </w:rPr>
          <m:t>AMNSF</m:t>
        </m:r>
        <m:r>
          <m:rPr>
            <m:sty m:val="p"/>
          </m:rPr>
          <w:rPr>
            <w:rFonts w:ascii="Cambria Math" w:hAnsi="Cambria Math"/>
          </w:rPr>
          <m:t>= A</m:t>
        </m:r>
        <m:r>
          <w:rPr>
            <w:rFonts w:ascii="Cambria Math" w:hAnsi="Cambria Math"/>
          </w:rPr>
          <m:t>MNSTOT</m:t>
        </m:r>
        <m:r>
          <m:rPr>
            <m:sty m:val="p"/>
          </m:rPr>
          <w:rPr>
            <w:rFonts w:ascii="Cambria Math" w:hAnsi="Cambria Math"/>
          </w:rPr>
          <m:t>+</m:t>
        </m:r>
        <m:r>
          <w:rPr>
            <w:rFonts w:ascii="Cambria Math" w:hAnsi="Cambria Math"/>
          </w:rPr>
          <m:t>AFMNS</m:t>
        </m:r>
      </m:oMath>
    </w:p>
    <w:p w14:paraId="1A77DC63" w14:textId="7E0CF5CE" w:rsidR="00A7158E" w:rsidRPr="008E4E21" w:rsidRDefault="00A7158E" w:rsidP="00A7158E">
      <w:pPr>
        <w:pStyle w:val="Lista"/>
      </w:pPr>
      <w:r w:rsidRPr="008E4E21">
        <w:t xml:space="preserve">The same can be done for the residual (unmetered) components of AFF and ADF to produce a total </w:t>
      </w:r>
      <w:r w:rsidR="009C560D">
        <w:t xml:space="preserve">area </w:t>
      </w:r>
      <w:r w:rsidRPr="008E4E21">
        <w:t>residual load factor (</w:t>
      </w:r>
      <w:r w:rsidR="009C560D">
        <w:t>A</w:t>
      </w:r>
      <w:r w:rsidRPr="008E4E21">
        <w:t>RLF):</w:t>
      </w:r>
    </w:p>
    <w:p w14:paraId="034E8781" w14:textId="3324E947" w:rsidR="00A7158E" w:rsidRPr="008E4E21" w:rsidRDefault="00A7158E" w:rsidP="00D83CFF">
      <w:pPr>
        <w:pStyle w:val="ParaFlw1"/>
      </w:pPr>
      <w:r w:rsidRPr="00CE59E3">
        <w:rPr>
          <w:b/>
        </w:rPr>
        <w:t xml:space="preserve">EQ. </w:t>
      </w:r>
      <w:r w:rsidRPr="00CE59E3">
        <w:rPr>
          <w:b/>
        </w:rPr>
        <w:fldChar w:fldCharType="begin"/>
      </w:r>
      <w:r w:rsidRPr="00CE59E3">
        <w:rPr>
          <w:b/>
        </w:rPr>
        <w:instrText xml:space="preserve"> SEQ Eq. \* ARABIC </w:instrText>
      </w:r>
      <w:r w:rsidRPr="00CE59E3">
        <w:rPr>
          <w:b/>
        </w:rPr>
        <w:fldChar w:fldCharType="separate"/>
      </w:r>
      <w:r w:rsidR="003E2BF7">
        <w:rPr>
          <w:b/>
          <w:noProof/>
        </w:rPr>
        <w:t>28</w:t>
      </w:r>
      <w:r w:rsidRPr="00CE59E3">
        <w:rPr>
          <w:b/>
        </w:rPr>
        <w:fldChar w:fldCharType="end"/>
      </w:r>
      <w:r w:rsidRPr="008E4E21">
        <w:tab/>
      </w:r>
      <w:r w:rsidRPr="008E4E21">
        <w:tab/>
        <w:t xml:space="preserve"> </w:t>
      </w:r>
      <m:oMath>
        <m:r>
          <w:rPr>
            <w:rFonts w:ascii="Cambria Math" w:hAnsi="Cambria Math"/>
          </w:rPr>
          <m:t>ARLF= ADRF+AFRF</m:t>
        </m:r>
      </m:oMath>
    </w:p>
    <w:p w14:paraId="76B1028D" w14:textId="24640E2A" w:rsidR="00A7158E" w:rsidRPr="008E4E21" w:rsidRDefault="00A7158E" w:rsidP="00A7158E">
      <w:pPr>
        <w:pStyle w:val="Lista"/>
      </w:pPr>
      <w:r w:rsidRPr="008E4E21">
        <w:t>To facilita</w:t>
      </w:r>
      <w:r w:rsidR="006B0231">
        <w:t xml:space="preserve">te normalisation of factors in </w:t>
      </w:r>
      <w:r w:rsidR="004220A7">
        <w:t>clause</w:t>
      </w:r>
      <w:r w:rsidRPr="008E4E21">
        <w:t xml:space="preserve"> </w:t>
      </w:r>
      <w:r w:rsidRPr="008E4E21">
        <w:fldChar w:fldCharType="begin"/>
      </w:r>
      <w:r w:rsidRPr="008E4E21">
        <w:instrText xml:space="preserve"> REF _Ref474510933 \r \h  \* MERGEFORMAT </w:instrText>
      </w:r>
      <w:r w:rsidRPr="008E4E21">
        <w:fldChar w:fldCharType="separate"/>
      </w:r>
      <w:r w:rsidR="003E2BF7">
        <w:t>7.5</w:t>
      </w:r>
      <w:r w:rsidRPr="008E4E21">
        <w:fldChar w:fldCharType="end"/>
      </w:r>
      <w:r w:rsidRPr="008E4E21">
        <w:t>, a total area factor (</w:t>
      </w:r>
      <w:r w:rsidR="0057703A" w:rsidRPr="008E4E21">
        <w:t>A</w:t>
      </w:r>
      <w:r w:rsidR="0057703A">
        <w:t>T</w:t>
      </w:r>
      <w:r w:rsidR="0057703A" w:rsidRPr="008E4E21">
        <w:t>F</w:t>
      </w:r>
      <w:r w:rsidRPr="008E4E21">
        <w:t>) can be produced by combining the</w:t>
      </w:r>
      <w:r w:rsidR="006B0231">
        <w:t xml:space="preserve"> portfolio</w:t>
      </w:r>
      <w:r w:rsidRPr="008E4E21">
        <w:t xml:space="preserve"> factors for all scheduled and semi-scheduled portfolios (</w:t>
      </w:r>
      <w:r w:rsidR="0057703A">
        <w:t>A</w:t>
      </w:r>
      <w:r w:rsidRPr="008E4E21">
        <w:t xml:space="preserve">MSF), with the contribution of </w:t>
      </w:r>
      <w:r w:rsidR="006B0231">
        <w:t xml:space="preserve">appropriately </w:t>
      </w:r>
      <w:r w:rsidRPr="008E4E21">
        <w:t xml:space="preserve">metered </w:t>
      </w:r>
      <w:r w:rsidRPr="006B0231">
        <w:rPr>
          <w:i/>
        </w:rPr>
        <w:t xml:space="preserve">non-scheduled </w:t>
      </w:r>
      <w:r w:rsidR="006B0231">
        <w:rPr>
          <w:i/>
        </w:rPr>
        <w:t xml:space="preserve">generating </w:t>
      </w:r>
      <w:r w:rsidRPr="006B0231">
        <w:rPr>
          <w:i/>
        </w:rPr>
        <w:t>units</w:t>
      </w:r>
      <w:r w:rsidRPr="008E4E21">
        <w:t xml:space="preserve"> and </w:t>
      </w:r>
      <w:r w:rsidRPr="006B0231">
        <w:rPr>
          <w:i/>
        </w:rPr>
        <w:t>loads</w:t>
      </w:r>
      <w:r w:rsidRPr="008E4E21">
        <w:t xml:space="preserve"> (</w:t>
      </w:r>
      <w:r w:rsidR="0057703A">
        <w:t>A</w:t>
      </w:r>
      <w:r w:rsidRPr="008E4E21">
        <w:t>MNSF), and with the residual load factor (</w:t>
      </w:r>
      <w:r w:rsidR="0057703A">
        <w:t>A</w:t>
      </w:r>
      <w:r w:rsidRPr="008E4E21">
        <w:t>RLF)</w:t>
      </w:r>
      <w:r w:rsidR="0057703A">
        <w:t xml:space="preserve"> for that area</w:t>
      </w:r>
      <w:r w:rsidRPr="008E4E21">
        <w:t>:</w:t>
      </w:r>
    </w:p>
    <w:p w14:paraId="7FBBDF3F" w14:textId="4AF10E46" w:rsidR="00A7158E" w:rsidRPr="008E4E21" w:rsidRDefault="00A7158E" w:rsidP="00D83CFF">
      <w:pPr>
        <w:pStyle w:val="ParaFlw1"/>
      </w:pPr>
      <w:r w:rsidRPr="008E4E21">
        <w:rPr>
          <w:b/>
        </w:rPr>
        <w:t xml:space="preserve">EQ. </w:t>
      </w:r>
      <w:r w:rsidRPr="008E4E21">
        <w:rPr>
          <w:b/>
        </w:rPr>
        <w:fldChar w:fldCharType="begin"/>
      </w:r>
      <w:r w:rsidRPr="008E4E21">
        <w:rPr>
          <w:b/>
        </w:rPr>
        <w:instrText xml:space="preserve"> SEQ Eq. \* ARABIC </w:instrText>
      </w:r>
      <w:r w:rsidRPr="008E4E21">
        <w:rPr>
          <w:b/>
        </w:rPr>
        <w:fldChar w:fldCharType="separate"/>
      </w:r>
      <w:r w:rsidR="003E2BF7">
        <w:rPr>
          <w:b/>
          <w:noProof/>
        </w:rPr>
        <w:t>29</w:t>
      </w:r>
      <w:r w:rsidRPr="008E4E21">
        <w:rPr>
          <w:b/>
        </w:rPr>
        <w:fldChar w:fldCharType="end"/>
      </w:r>
      <w:r w:rsidRPr="008E4E21">
        <w:rPr>
          <w:b/>
        </w:rPr>
        <w:tab/>
      </w:r>
      <w:r w:rsidRPr="008E4E21">
        <w:rPr>
          <w:b/>
        </w:rPr>
        <w:tab/>
      </w:r>
      <w:r w:rsidRPr="008E4E21">
        <w:t xml:space="preserve"> </w:t>
      </w:r>
      <m:oMath>
        <m:r>
          <w:rPr>
            <w:rFonts w:ascii="Cambria Math" w:hAnsi="Cambria Math"/>
          </w:rPr>
          <m:t>ATF</m:t>
        </m:r>
        <m:r>
          <m:rPr>
            <m:sty m:val="p"/>
          </m:rPr>
          <w:rPr>
            <w:rFonts w:ascii="Cambria Math" w:hAnsi="Cambria Math"/>
          </w:rPr>
          <m:t>= A</m:t>
        </m:r>
        <m:r>
          <w:rPr>
            <w:rFonts w:ascii="Cambria Math" w:hAnsi="Cambria Math"/>
          </w:rPr>
          <m:t>MSF</m:t>
        </m:r>
        <m:r>
          <m:rPr>
            <m:sty m:val="p"/>
          </m:rPr>
          <w:rPr>
            <w:rFonts w:ascii="Cambria Math" w:hAnsi="Cambria Math"/>
          </w:rPr>
          <m:t>+A</m:t>
        </m:r>
        <m:r>
          <w:rPr>
            <w:rFonts w:ascii="Cambria Math" w:hAnsi="Cambria Math"/>
          </w:rPr>
          <m:t>MNSF</m:t>
        </m:r>
        <m:r>
          <m:rPr>
            <m:sty m:val="p"/>
          </m:rPr>
          <w:rPr>
            <w:rFonts w:ascii="Cambria Math" w:hAnsi="Cambria Math"/>
          </w:rPr>
          <m:t>+A</m:t>
        </m:r>
        <m:r>
          <w:rPr>
            <w:rFonts w:ascii="Cambria Math" w:hAnsi="Cambria Math"/>
          </w:rPr>
          <m:t>RLF</m:t>
        </m:r>
      </m:oMath>
    </w:p>
    <w:p w14:paraId="657066C0" w14:textId="0D85093C" w:rsidR="00A7158E" w:rsidRPr="008E4E21" w:rsidRDefault="00A7158E" w:rsidP="00A7158E">
      <w:pPr>
        <w:pStyle w:val="Lista"/>
      </w:pPr>
      <w:r w:rsidRPr="008E4E21">
        <w:fldChar w:fldCharType="begin"/>
      </w:r>
      <w:r w:rsidRPr="008E4E21">
        <w:instrText xml:space="preserve"> REF _Ref474511205 \h </w:instrText>
      </w:r>
      <w:r>
        <w:instrText xml:space="preserve"> \* MERGEFORMAT </w:instrText>
      </w:r>
      <w:r w:rsidRPr="008E4E21">
        <w:fldChar w:fldCharType="separate"/>
      </w:r>
      <w:r w:rsidR="003E2BF7" w:rsidRPr="00A50992">
        <w:t xml:space="preserve">Figure </w:t>
      </w:r>
      <w:r w:rsidR="003E2BF7">
        <w:rPr>
          <w:noProof/>
        </w:rPr>
        <w:t>1</w:t>
      </w:r>
      <w:r w:rsidRPr="008E4E21">
        <w:fldChar w:fldCharType="end"/>
      </w:r>
      <w:r w:rsidRPr="008E4E21">
        <w:t xml:space="preserve"> sumarises the above derivation steps in graphical form.</w:t>
      </w:r>
    </w:p>
    <w:p w14:paraId="4301FAD8" w14:textId="297DFDBE" w:rsidR="00D83CFF" w:rsidRPr="00A50992" w:rsidRDefault="00D83CFF" w:rsidP="00D83CFF">
      <w:pPr>
        <w:pStyle w:val="Caption"/>
      </w:pPr>
      <w:bookmarkStart w:id="68" w:name="_Ref474511205"/>
      <w:bookmarkStart w:id="69" w:name="_Toc504643638"/>
      <w:r w:rsidRPr="00A50992">
        <w:t xml:space="preserve">Figure </w:t>
      </w:r>
      <w:fldSimple w:instr=" SEQ Figure \* ARABIC ">
        <w:r w:rsidR="003E2BF7">
          <w:rPr>
            <w:noProof/>
          </w:rPr>
          <w:t>1</w:t>
        </w:r>
      </w:fldSimple>
      <w:bookmarkEnd w:id="68"/>
      <w:r w:rsidRPr="00A50992">
        <w:t xml:space="preserve"> </w:t>
      </w:r>
      <w:r>
        <w:t xml:space="preserve">    </w:t>
      </w:r>
      <w:r w:rsidRPr="00A50992">
        <w:t xml:space="preserve">Calculation of </w:t>
      </w:r>
      <w:r w:rsidRPr="006C280E">
        <w:t>derived</w:t>
      </w:r>
      <w:r w:rsidRPr="00A50992">
        <w:t xml:space="preserve"> values</w:t>
      </w:r>
      <w:bookmarkEnd w:id="69"/>
    </w:p>
    <w:p w14:paraId="3E010C42" w14:textId="24D728C5" w:rsidR="00D83CFF" w:rsidRPr="00965667" w:rsidRDefault="00A5671B" w:rsidP="00D83CFF">
      <w:pPr>
        <w:jc w:val="center"/>
      </w:pPr>
      <w:r>
        <w:rPr>
          <w:noProof/>
          <w:lang w:eastAsia="en-AU"/>
        </w:rPr>
        <w:drawing>
          <wp:inline distT="0" distB="0" distL="0" distR="0" wp14:anchorId="6D43D8B8" wp14:editId="51470210">
            <wp:extent cx="5831840" cy="3459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1840" cy="3459480"/>
                    </a:xfrm>
                    <a:prstGeom prst="rect">
                      <a:avLst/>
                    </a:prstGeom>
                  </pic:spPr>
                </pic:pic>
              </a:graphicData>
            </a:graphic>
          </wp:inline>
        </w:drawing>
      </w:r>
    </w:p>
    <w:p w14:paraId="10872E38" w14:textId="1AC57764" w:rsidR="00D83CFF" w:rsidRDefault="00D83CFF" w:rsidP="00D83CFF">
      <w:pPr>
        <w:pStyle w:val="Heading2"/>
      </w:pPr>
      <w:bookmarkStart w:id="70" w:name="_Ref474506794"/>
      <w:bookmarkStart w:id="71" w:name="_Ref474510915"/>
      <w:bookmarkStart w:id="72" w:name="_Ref474510933"/>
      <w:bookmarkStart w:id="73" w:name="_Toc475110448"/>
      <w:bookmarkStart w:id="74" w:name="_Toc504643176"/>
      <w:bookmarkStart w:id="75" w:name="_Toc508896718"/>
      <w:r w:rsidRPr="006C280E">
        <w:lastRenderedPageBreak/>
        <w:t>Normalise</w:t>
      </w:r>
      <w:r>
        <w:t xml:space="preserve"> to Produce Area </w:t>
      </w:r>
      <w:r w:rsidR="00954595">
        <w:t>Contribution Factors</w:t>
      </w:r>
      <w:bookmarkEnd w:id="70"/>
      <w:bookmarkEnd w:id="71"/>
      <w:bookmarkEnd w:id="72"/>
      <w:bookmarkEnd w:id="73"/>
      <w:bookmarkEnd w:id="74"/>
      <w:bookmarkEnd w:id="75"/>
    </w:p>
    <w:p w14:paraId="49400702" w14:textId="38B8CA1D" w:rsidR="00D83CFF" w:rsidRDefault="00D83CFF" w:rsidP="00D83CFF">
      <w:pPr>
        <w:pStyle w:val="ResetPara"/>
      </w:pPr>
    </w:p>
    <w:p w14:paraId="3C9EB1FF" w14:textId="20A1D9CF" w:rsidR="00D83CFF" w:rsidRDefault="00D83CFF" w:rsidP="00D83CFF">
      <w:pPr>
        <w:pStyle w:val="Lista"/>
      </w:pPr>
      <w:r>
        <w:t xml:space="preserve">Using the portfolio totals from </w:t>
      </w:r>
      <w:r w:rsidR="004220A7">
        <w:t>clause</w:t>
      </w:r>
      <w:r>
        <w:t xml:space="preserve"> 7.2 and the derived totals from </w:t>
      </w:r>
      <w:r w:rsidR="004220A7">
        <w:t>clause</w:t>
      </w:r>
      <w:r>
        <w:t xml:space="preserve"> 7.3, final </w:t>
      </w:r>
      <w:r w:rsidR="00954595">
        <w:t>area Contribution F</w:t>
      </w:r>
      <w:r>
        <w:t xml:space="preserve">actors </w:t>
      </w:r>
      <w:r w:rsidR="00954595">
        <w:t xml:space="preserve">for each </w:t>
      </w:r>
      <w:r w:rsidR="00954595">
        <w:rPr>
          <w:i/>
        </w:rPr>
        <w:t xml:space="preserve">Market Participant </w:t>
      </w:r>
      <w:r>
        <w:t xml:space="preserve">are calculated for each </w:t>
      </w:r>
      <w:r w:rsidR="000A3185">
        <w:t xml:space="preserve">of </w:t>
      </w:r>
      <w:r>
        <w:t>Mainland and Tasmania.</w:t>
      </w:r>
    </w:p>
    <w:p w14:paraId="3859B90F" w14:textId="2EB6CA62" w:rsidR="00D83CFF" w:rsidRDefault="00D83CFF" w:rsidP="00D83CFF">
      <w:pPr>
        <w:pStyle w:val="Lista"/>
      </w:pPr>
      <w:r>
        <w:t xml:space="preserve">These factors are calculated as described in Table 11, ensuring that the sum of all </w:t>
      </w:r>
      <w:r w:rsidR="000A3185">
        <w:t>area contribution f</w:t>
      </w:r>
      <w:r>
        <w:t>actors for each area equals 1 (100%).</w:t>
      </w:r>
    </w:p>
    <w:p w14:paraId="58443727" w14:textId="7B1D5FFF" w:rsidR="00D83CFF" w:rsidRDefault="00D83CFF" w:rsidP="00D83CFF">
      <w:pPr>
        <w:pStyle w:val="TableTitle"/>
      </w:pPr>
      <w:r>
        <w:t>Table 11</w:t>
      </w:r>
      <w:r>
        <w:tab/>
        <w:t xml:space="preserve"> </w:t>
      </w:r>
      <w:r w:rsidR="000A3185">
        <w:t xml:space="preserve">Area </w:t>
      </w:r>
      <w:r>
        <w:t>Contribution Factors for Mainland and Tasmania</w:t>
      </w:r>
    </w:p>
    <w:tbl>
      <w:tblPr>
        <w:tblStyle w:val="AEMOTable5"/>
        <w:tblW w:w="5371" w:type="pct"/>
        <w:tblLook w:val="0420" w:firstRow="1" w:lastRow="0" w:firstColumn="0" w:lastColumn="0" w:noHBand="0" w:noVBand="1"/>
      </w:tblPr>
      <w:tblGrid>
        <w:gridCol w:w="5329"/>
        <w:gridCol w:w="4536"/>
      </w:tblGrid>
      <w:tr w:rsidR="00D83CFF" w:rsidRPr="00D83CFF" w14:paraId="1E47C65D" w14:textId="77777777" w:rsidTr="00436DAB">
        <w:trPr>
          <w:cnfStyle w:val="100000000000" w:firstRow="1" w:lastRow="0" w:firstColumn="0" w:lastColumn="0" w:oddVBand="0" w:evenVBand="0" w:oddHBand="0" w:evenHBand="0" w:firstRowFirstColumn="0" w:firstRowLastColumn="0" w:lastRowFirstColumn="0" w:lastRowLastColumn="0"/>
        </w:trPr>
        <w:tc>
          <w:tcPr>
            <w:tcW w:w="2701" w:type="pct"/>
            <w:vAlign w:val="center"/>
          </w:tcPr>
          <w:p w14:paraId="358B2C4A" w14:textId="77777777" w:rsidR="00D83CFF" w:rsidRPr="00D83CFF" w:rsidRDefault="00D83CFF" w:rsidP="00D83CFF">
            <w:pPr>
              <w:keepNext/>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b w:val="0"/>
                <w:sz w:val="18"/>
                <w:szCs w:val="18"/>
              </w:rPr>
              <w:t>Component Type</w:t>
            </w:r>
          </w:p>
        </w:tc>
        <w:tc>
          <w:tcPr>
            <w:tcW w:w="2299" w:type="pct"/>
            <w:vAlign w:val="center"/>
          </w:tcPr>
          <w:p w14:paraId="372EED06" w14:textId="77777777" w:rsidR="00D83CFF" w:rsidRPr="00D83CFF" w:rsidRDefault="00D83CFF" w:rsidP="00D83CFF">
            <w:pPr>
              <w:keepNext/>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b w:val="0"/>
                <w:sz w:val="18"/>
                <w:szCs w:val="18"/>
              </w:rPr>
              <w:t>Area Calculation</w:t>
            </w:r>
          </w:p>
        </w:tc>
      </w:tr>
      <w:tr w:rsidR="00D83CFF" w:rsidRPr="00D83CFF" w14:paraId="75055E35" w14:textId="77777777" w:rsidTr="00436DAB">
        <w:trPr>
          <w:cnfStyle w:val="000000100000" w:firstRow="0" w:lastRow="0" w:firstColumn="0" w:lastColumn="0" w:oddVBand="0" w:evenVBand="0" w:oddHBand="1" w:evenHBand="0" w:firstRowFirstColumn="0" w:firstRowLastColumn="0" w:lastRowFirstColumn="0" w:lastRowLastColumn="0"/>
        </w:trPr>
        <w:tc>
          <w:tcPr>
            <w:tcW w:w="2701" w:type="pct"/>
          </w:tcPr>
          <w:p w14:paraId="4291A6B1" w14:textId="3B238F10" w:rsidR="00D83CFF" w:rsidRPr="00D83CFF" w:rsidRDefault="00D83CFF" w:rsidP="00D83CFF">
            <w:pPr>
              <w:keepNext/>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sz w:val="18"/>
                <w:szCs w:val="18"/>
              </w:rPr>
              <w:t xml:space="preserve">For each portfolio containing scheduled and semi-scheduled generating units or </w:t>
            </w:r>
            <w:r w:rsidR="00A057B2">
              <w:rPr>
                <w:rFonts w:asciiTheme="majorHAnsi" w:eastAsiaTheme="minorHAnsi" w:hAnsiTheme="majorHAnsi" w:cstheme="majorHAnsi"/>
                <w:sz w:val="18"/>
                <w:szCs w:val="18"/>
              </w:rPr>
              <w:t xml:space="preserve">scheduled </w:t>
            </w:r>
            <w:r w:rsidRPr="00D83CFF">
              <w:rPr>
                <w:rFonts w:asciiTheme="majorHAnsi" w:eastAsiaTheme="minorHAnsi" w:hAnsiTheme="majorHAnsi" w:cstheme="majorHAnsi"/>
                <w:sz w:val="18"/>
                <w:szCs w:val="18"/>
              </w:rPr>
              <w:t>loads</w:t>
            </w:r>
          </w:p>
        </w:tc>
        <w:tc>
          <w:tcPr>
            <w:tcW w:w="2299" w:type="pct"/>
            <w:vAlign w:val="center"/>
          </w:tcPr>
          <w:p w14:paraId="68B4A406" w14:textId="43E605B6" w:rsidR="00D83CFF" w:rsidRPr="00D83CFF" w:rsidRDefault="00D83CFF" w:rsidP="00EA78B3">
            <w:pPr>
              <w:keepNext/>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b/>
                <w:sz w:val="18"/>
                <w:szCs w:val="18"/>
              </w:rPr>
              <w:t xml:space="preserve">EQ. </w:t>
            </w:r>
            <w:r w:rsidRPr="00D83CFF">
              <w:rPr>
                <w:rFonts w:asciiTheme="majorHAnsi" w:eastAsiaTheme="minorHAnsi" w:hAnsiTheme="majorHAnsi" w:cstheme="majorHAnsi"/>
                <w:b/>
                <w:sz w:val="18"/>
                <w:szCs w:val="18"/>
              </w:rPr>
              <w:fldChar w:fldCharType="begin"/>
            </w:r>
            <w:r w:rsidRPr="00D83CFF">
              <w:rPr>
                <w:rFonts w:asciiTheme="majorHAnsi" w:eastAsiaTheme="minorHAnsi" w:hAnsiTheme="majorHAnsi" w:cstheme="majorHAnsi"/>
                <w:b/>
                <w:sz w:val="18"/>
                <w:szCs w:val="18"/>
              </w:rPr>
              <w:instrText xml:space="preserve"> SEQ Eq. \* ARABIC </w:instrText>
            </w:r>
            <w:r w:rsidRPr="00D83CFF">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30</w:t>
            </w:r>
            <w:r w:rsidRPr="00D83CFF">
              <w:rPr>
                <w:rFonts w:asciiTheme="majorHAnsi" w:eastAsiaTheme="minorHAnsi" w:hAnsiTheme="majorHAnsi" w:cstheme="majorHAnsi"/>
                <w:b/>
                <w:sz w:val="18"/>
                <w:szCs w:val="18"/>
              </w:rPr>
              <w:fldChar w:fldCharType="end"/>
            </w:r>
            <w:r w:rsidRPr="00D83CFF">
              <w:rPr>
                <w:rFonts w:asciiTheme="majorHAnsi" w:eastAsiaTheme="minorHAnsi" w:hAnsiTheme="majorHAnsi" w:cstheme="majorHAnsi"/>
                <w:b/>
                <w:sz w:val="18"/>
                <w:szCs w:val="18"/>
              </w:rPr>
              <w:tab/>
            </w:r>
            <w:r w:rsidRPr="00D83CFF">
              <w:rPr>
                <w:rFonts w:asciiTheme="majorHAnsi" w:eastAsiaTheme="minorHAnsi" w:hAnsiTheme="majorHAnsi" w:cstheme="majorHAnsi"/>
                <w:b/>
                <w:sz w:val="18"/>
                <w:szCs w:val="18"/>
              </w:rPr>
              <w:tab/>
            </w:r>
            <m:oMath>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AreaMPF</m:t>
                  </m:r>
                </m:e>
                <m:sub>
                  <m:r>
                    <w:rPr>
                      <w:rFonts w:ascii="Cambria Math" w:eastAsiaTheme="minorHAnsi" w:hAnsi="Cambria Math" w:cstheme="majorHAnsi"/>
                      <w:sz w:val="18"/>
                      <w:szCs w:val="18"/>
                    </w:rPr>
                    <m:t>SSS</m:t>
                  </m:r>
                </m:sub>
              </m:sSub>
              <m:r>
                <w:rPr>
                  <w:rFonts w:ascii="Cambria Math" w:eastAsiaTheme="minorHAnsi" w:hAnsi="Cambria Math" w:cstheme="majorHAnsi"/>
                  <w:sz w:val="18"/>
                  <w:szCs w:val="18"/>
                </w:rPr>
                <m:t xml:space="preserve"> = </m:t>
              </m:r>
              <m:f>
                <m:fPr>
                  <m:ctrlPr>
                    <w:rPr>
                      <w:rFonts w:ascii="Cambria Math" w:eastAsiaTheme="minorHAnsi" w:hAnsi="Cambria Math" w:cstheme="majorHAnsi"/>
                      <w:i/>
                      <w:sz w:val="18"/>
                      <w:szCs w:val="18"/>
                    </w:rPr>
                  </m:ctrlPr>
                </m:fPr>
                <m:num>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APF</m:t>
                      </m:r>
                    </m:e>
                    <m:sub>
                      <m:r>
                        <w:rPr>
                          <w:rFonts w:ascii="Cambria Math" w:eastAsiaTheme="minorHAnsi" w:hAnsi="Cambria Math" w:cstheme="majorHAnsi"/>
                          <w:sz w:val="18"/>
                          <w:szCs w:val="18"/>
                        </w:rPr>
                        <m:t>SSS</m:t>
                      </m:r>
                    </m:sub>
                  </m:sSub>
                </m:num>
                <m:den>
                  <m:r>
                    <w:rPr>
                      <w:rFonts w:ascii="Cambria Math" w:eastAsiaTheme="minorHAnsi" w:hAnsi="Cambria Math" w:cstheme="majorHAnsi"/>
                      <w:sz w:val="18"/>
                      <w:szCs w:val="18"/>
                    </w:rPr>
                    <m:t>ATF</m:t>
                  </m:r>
                </m:den>
              </m:f>
            </m:oMath>
          </w:p>
        </w:tc>
      </w:tr>
      <w:tr w:rsidR="00D83CFF" w:rsidRPr="00D83CFF" w14:paraId="2B9B27BF" w14:textId="77777777" w:rsidTr="00436DAB">
        <w:trPr>
          <w:cnfStyle w:val="000000010000" w:firstRow="0" w:lastRow="0" w:firstColumn="0" w:lastColumn="0" w:oddVBand="0" w:evenVBand="0" w:oddHBand="0" w:evenHBand="1" w:firstRowFirstColumn="0" w:firstRowLastColumn="0" w:lastRowFirstColumn="0" w:lastRowLastColumn="0"/>
        </w:trPr>
        <w:tc>
          <w:tcPr>
            <w:tcW w:w="2701" w:type="pct"/>
          </w:tcPr>
          <w:p w14:paraId="69FC03E6" w14:textId="77777777" w:rsidR="00D83CFF" w:rsidRPr="00D83CFF" w:rsidRDefault="00D83CFF" w:rsidP="00D83CFF">
            <w:pPr>
              <w:keepNext/>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sz w:val="18"/>
                <w:szCs w:val="18"/>
              </w:rPr>
              <w:t>For each portfolio containing non-scheduled generating units or loads with appropriate metering.</w:t>
            </w:r>
          </w:p>
        </w:tc>
        <w:tc>
          <w:tcPr>
            <w:tcW w:w="2299" w:type="pct"/>
            <w:vAlign w:val="center"/>
          </w:tcPr>
          <w:p w14:paraId="042E7715" w14:textId="6A76020A" w:rsidR="00D83CFF" w:rsidRPr="00D83CFF" w:rsidRDefault="00D83CFF" w:rsidP="00D83CFF">
            <w:pPr>
              <w:keepNext/>
              <w:spacing w:before="60" w:after="60" w:line="259" w:lineRule="auto"/>
              <w:jc w:val="left"/>
              <w:rPr>
                <w:rFonts w:asciiTheme="majorHAnsi" w:eastAsiaTheme="minorEastAsia" w:hAnsiTheme="majorHAnsi" w:cstheme="majorHAnsi"/>
                <w:sz w:val="18"/>
                <w:szCs w:val="18"/>
              </w:rPr>
            </w:pPr>
            <w:r w:rsidRPr="00D83CFF">
              <w:rPr>
                <w:rFonts w:asciiTheme="majorHAnsi" w:eastAsiaTheme="minorHAnsi" w:hAnsiTheme="majorHAnsi" w:cstheme="majorHAnsi"/>
                <w:b/>
                <w:sz w:val="18"/>
                <w:szCs w:val="18"/>
              </w:rPr>
              <w:t xml:space="preserve">EQ. </w:t>
            </w:r>
            <w:r w:rsidRPr="00D83CFF">
              <w:rPr>
                <w:rFonts w:asciiTheme="majorHAnsi" w:eastAsiaTheme="minorHAnsi" w:hAnsiTheme="majorHAnsi" w:cstheme="majorHAnsi"/>
                <w:b/>
                <w:sz w:val="18"/>
                <w:szCs w:val="18"/>
              </w:rPr>
              <w:fldChar w:fldCharType="begin"/>
            </w:r>
            <w:r w:rsidRPr="00D83CFF">
              <w:rPr>
                <w:rFonts w:asciiTheme="majorHAnsi" w:eastAsiaTheme="minorHAnsi" w:hAnsiTheme="majorHAnsi" w:cstheme="majorHAnsi"/>
                <w:b/>
                <w:sz w:val="18"/>
                <w:szCs w:val="18"/>
              </w:rPr>
              <w:instrText xml:space="preserve"> SEQ Eq. \* ARABIC </w:instrText>
            </w:r>
            <w:r w:rsidRPr="00D83CFF">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31</w:t>
            </w:r>
            <w:r w:rsidRPr="00D83CFF">
              <w:rPr>
                <w:rFonts w:asciiTheme="majorHAnsi" w:eastAsiaTheme="minorHAnsi" w:hAnsiTheme="majorHAnsi" w:cstheme="majorHAnsi"/>
                <w:b/>
                <w:sz w:val="18"/>
                <w:szCs w:val="18"/>
              </w:rPr>
              <w:fldChar w:fldCharType="end"/>
            </w:r>
            <w:r w:rsidRPr="00D83CFF">
              <w:rPr>
                <w:rFonts w:asciiTheme="majorHAnsi" w:eastAsiaTheme="minorHAnsi" w:hAnsiTheme="majorHAnsi" w:cstheme="majorHAnsi"/>
                <w:b/>
                <w:sz w:val="18"/>
                <w:szCs w:val="18"/>
              </w:rPr>
              <w:tab/>
            </w:r>
            <w:r w:rsidRPr="00D83CFF">
              <w:rPr>
                <w:rFonts w:asciiTheme="majorHAnsi" w:eastAsiaTheme="minorHAnsi" w:hAnsiTheme="majorHAnsi" w:cstheme="majorHAnsi"/>
                <w:b/>
                <w:sz w:val="18"/>
                <w:szCs w:val="18"/>
              </w:rPr>
              <w:tab/>
            </w:r>
            <m:oMath>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AreaMPF</m:t>
                  </m:r>
                </m:e>
                <m:sub>
                  <m:r>
                    <w:rPr>
                      <w:rFonts w:ascii="Cambria Math" w:eastAsiaTheme="minorHAnsi" w:hAnsi="Cambria Math" w:cstheme="majorHAnsi"/>
                      <w:sz w:val="18"/>
                      <w:szCs w:val="18"/>
                    </w:rPr>
                    <m:t>MNS</m:t>
                  </m:r>
                </m:sub>
              </m:sSub>
              <m:r>
                <w:rPr>
                  <w:rFonts w:ascii="Cambria Math" w:eastAsiaTheme="minorHAnsi" w:hAnsi="Cambria Math" w:cstheme="majorHAnsi"/>
                  <w:sz w:val="18"/>
                  <w:szCs w:val="18"/>
                </w:rPr>
                <m:t xml:space="preserve"> = </m:t>
              </m:r>
              <m:f>
                <m:fPr>
                  <m:ctrlPr>
                    <w:rPr>
                      <w:rFonts w:ascii="Cambria Math" w:eastAsiaTheme="minorHAnsi" w:hAnsi="Cambria Math" w:cstheme="majorHAnsi"/>
                      <w:i/>
                      <w:sz w:val="18"/>
                      <w:szCs w:val="18"/>
                    </w:rPr>
                  </m:ctrlPr>
                </m:fPr>
                <m:num>
                  <m:r>
                    <w:rPr>
                      <w:rFonts w:ascii="Cambria Math" w:eastAsiaTheme="minorHAnsi" w:hAnsi="Cambria Math" w:cstheme="majorHAnsi"/>
                      <w:sz w:val="18"/>
                      <w:szCs w:val="18"/>
                    </w:rPr>
                    <m:t>A</m:t>
                  </m:r>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PF</m:t>
                      </m:r>
                    </m:e>
                    <m:sub>
                      <m:r>
                        <w:rPr>
                          <w:rFonts w:ascii="Cambria Math" w:eastAsiaTheme="minorHAnsi" w:hAnsi="Cambria Math" w:cstheme="majorHAnsi"/>
                          <w:sz w:val="18"/>
                          <w:szCs w:val="18"/>
                        </w:rPr>
                        <m:t>NS</m:t>
                      </m:r>
                    </m:sub>
                  </m:sSub>
                </m:num>
                <m:den>
                  <m:r>
                    <w:rPr>
                      <w:rFonts w:ascii="Cambria Math" w:eastAsiaTheme="minorHAnsi" w:hAnsi="Cambria Math" w:cstheme="majorHAnsi"/>
                      <w:sz w:val="18"/>
                      <w:szCs w:val="18"/>
                    </w:rPr>
                    <m:t>AMNSTOT</m:t>
                  </m:r>
                </m:den>
              </m:f>
              <m:r>
                <w:rPr>
                  <w:rFonts w:ascii="Cambria Math" w:eastAsiaTheme="minorHAnsi" w:hAnsi="Cambria Math" w:cstheme="majorHAnsi"/>
                  <w:sz w:val="18"/>
                  <w:szCs w:val="18"/>
                </w:rPr>
                <m:t>∙</m:t>
              </m:r>
              <m:f>
                <m:fPr>
                  <m:ctrlPr>
                    <w:rPr>
                      <w:rFonts w:ascii="Cambria Math" w:eastAsiaTheme="minorHAnsi" w:hAnsi="Cambria Math" w:cstheme="majorHAnsi"/>
                      <w:i/>
                      <w:sz w:val="18"/>
                      <w:szCs w:val="18"/>
                    </w:rPr>
                  </m:ctrlPr>
                </m:fPr>
                <m:num>
                  <m:r>
                    <w:rPr>
                      <w:rFonts w:ascii="Cambria Math" w:eastAsiaTheme="minorHAnsi" w:hAnsi="Cambria Math" w:cstheme="majorHAnsi"/>
                      <w:sz w:val="18"/>
                      <w:szCs w:val="18"/>
                    </w:rPr>
                    <m:t>AMNSF</m:t>
                  </m:r>
                </m:num>
                <m:den>
                  <m:r>
                    <w:rPr>
                      <w:rFonts w:ascii="Cambria Math" w:eastAsiaTheme="minorHAnsi" w:hAnsi="Cambria Math" w:cstheme="majorHAnsi"/>
                      <w:sz w:val="18"/>
                      <w:szCs w:val="18"/>
                    </w:rPr>
                    <m:t>ATF</m:t>
                  </m:r>
                </m:den>
              </m:f>
            </m:oMath>
          </w:p>
          <w:p w14:paraId="059B2305" w14:textId="4C391B30" w:rsidR="00D83CFF" w:rsidRPr="00D83CFF" w:rsidRDefault="00AF71FC" w:rsidP="00EA78B3">
            <w:pPr>
              <w:keepNext/>
              <w:spacing w:before="60" w:after="60" w:line="259" w:lineRule="auto"/>
              <w:jc w:val="left"/>
              <w:rPr>
                <w:rFonts w:asciiTheme="majorHAnsi" w:eastAsiaTheme="minorHAnsi" w:hAnsiTheme="majorHAnsi" w:cstheme="majorHAnsi"/>
                <w:sz w:val="18"/>
                <w:szCs w:val="18"/>
              </w:rPr>
            </w:pPr>
            <m:oMathPara>
              <m:oMath>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AreaMPF</m:t>
                    </m:r>
                  </m:e>
                  <m:sub>
                    <m:r>
                      <w:rPr>
                        <w:rFonts w:ascii="Cambria Math" w:eastAsiaTheme="minorHAnsi" w:hAnsi="Cambria Math" w:cstheme="majorHAnsi"/>
                        <w:sz w:val="18"/>
                        <w:szCs w:val="18"/>
                      </w:rPr>
                      <m:t>MNS</m:t>
                    </m:r>
                  </m:sub>
                </m:sSub>
                <m:r>
                  <w:rPr>
                    <w:rFonts w:ascii="Cambria Math" w:eastAsiaTheme="minorHAnsi" w:hAnsi="Cambria Math" w:cstheme="majorHAnsi"/>
                    <w:sz w:val="18"/>
                    <w:szCs w:val="18"/>
                  </w:rPr>
                  <m:t xml:space="preserve"> =(1+</m:t>
                </m:r>
                <m:f>
                  <m:fPr>
                    <m:ctrlPr>
                      <w:rPr>
                        <w:rFonts w:ascii="Cambria Math" w:eastAsiaTheme="minorHAnsi" w:hAnsi="Cambria Math" w:cstheme="majorHAnsi"/>
                        <w:i/>
                        <w:sz w:val="18"/>
                        <w:szCs w:val="18"/>
                      </w:rPr>
                    </m:ctrlPr>
                  </m:fPr>
                  <m:num>
                    <m:r>
                      <w:rPr>
                        <w:rFonts w:ascii="Cambria Math" w:eastAsiaTheme="minorHAnsi" w:hAnsi="Cambria Math" w:cstheme="majorHAnsi"/>
                        <w:sz w:val="18"/>
                        <w:szCs w:val="18"/>
                      </w:rPr>
                      <m:t>AFF</m:t>
                    </m:r>
                  </m:num>
                  <m:den>
                    <m:r>
                      <w:rPr>
                        <w:rFonts w:ascii="Cambria Math" w:eastAsiaTheme="minorHAnsi" w:hAnsi="Cambria Math" w:cstheme="majorHAnsi"/>
                        <w:sz w:val="18"/>
                        <w:szCs w:val="18"/>
                      </w:rPr>
                      <m:t>ADF</m:t>
                    </m:r>
                  </m:den>
                </m:f>
                <m:r>
                  <w:rPr>
                    <w:rFonts w:ascii="Cambria Math" w:eastAsiaTheme="minorHAnsi" w:hAnsi="Cambria Math" w:cstheme="majorHAnsi"/>
                    <w:sz w:val="18"/>
                    <w:szCs w:val="18"/>
                  </w:rPr>
                  <m:t>)∙</m:t>
                </m:r>
                <m:f>
                  <m:fPr>
                    <m:ctrlPr>
                      <w:rPr>
                        <w:rFonts w:ascii="Cambria Math" w:eastAsiaTheme="minorHAnsi" w:hAnsi="Cambria Math" w:cstheme="majorHAnsi"/>
                        <w:i/>
                        <w:sz w:val="18"/>
                        <w:szCs w:val="18"/>
                      </w:rPr>
                    </m:ctrlPr>
                  </m:fPr>
                  <m:num>
                    <m:r>
                      <w:rPr>
                        <w:rFonts w:ascii="Cambria Math" w:eastAsiaTheme="minorHAnsi" w:hAnsi="Cambria Math" w:cstheme="majorHAnsi"/>
                        <w:sz w:val="18"/>
                        <w:szCs w:val="18"/>
                      </w:rPr>
                      <m:t>A</m:t>
                    </m:r>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PF</m:t>
                        </m:r>
                      </m:e>
                      <m:sub>
                        <m:r>
                          <w:rPr>
                            <w:rFonts w:ascii="Cambria Math" w:eastAsiaTheme="minorHAnsi" w:hAnsi="Cambria Math" w:cstheme="majorHAnsi"/>
                            <w:sz w:val="18"/>
                            <w:szCs w:val="18"/>
                          </w:rPr>
                          <m:t>NS</m:t>
                        </m:r>
                      </m:sub>
                    </m:sSub>
                  </m:num>
                  <m:den>
                    <m:r>
                      <w:rPr>
                        <w:rFonts w:ascii="Cambria Math" w:eastAsiaTheme="minorHAnsi" w:hAnsi="Cambria Math" w:cstheme="majorHAnsi"/>
                        <w:sz w:val="18"/>
                        <w:szCs w:val="18"/>
                      </w:rPr>
                      <m:t>ATF</m:t>
                    </m:r>
                  </m:den>
                </m:f>
              </m:oMath>
            </m:oMathPara>
          </w:p>
        </w:tc>
      </w:tr>
      <w:tr w:rsidR="00D83CFF" w:rsidRPr="00D83CFF" w14:paraId="58EE003F" w14:textId="77777777" w:rsidTr="00436DAB">
        <w:trPr>
          <w:cnfStyle w:val="000000100000" w:firstRow="0" w:lastRow="0" w:firstColumn="0" w:lastColumn="0" w:oddVBand="0" w:evenVBand="0" w:oddHBand="1" w:evenHBand="0" w:firstRowFirstColumn="0" w:firstRowLastColumn="0" w:lastRowFirstColumn="0" w:lastRowLastColumn="0"/>
        </w:trPr>
        <w:tc>
          <w:tcPr>
            <w:tcW w:w="2701" w:type="pct"/>
          </w:tcPr>
          <w:p w14:paraId="7A509550" w14:textId="77777777" w:rsidR="00D83CFF" w:rsidRPr="00D83CFF" w:rsidRDefault="00D83CFF" w:rsidP="00D83CFF">
            <w:pPr>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sz w:val="18"/>
                <w:szCs w:val="18"/>
              </w:rPr>
              <w:t>Residual Component</w:t>
            </w:r>
          </w:p>
        </w:tc>
        <w:tc>
          <w:tcPr>
            <w:tcW w:w="2299" w:type="pct"/>
            <w:vAlign w:val="center"/>
          </w:tcPr>
          <w:p w14:paraId="007D107B" w14:textId="76F069D8" w:rsidR="00D83CFF" w:rsidRPr="00D83CFF" w:rsidRDefault="00D83CFF" w:rsidP="00EA78B3">
            <w:pPr>
              <w:spacing w:before="60" w:after="60" w:line="259" w:lineRule="auto"/>
              <w:jc w:val="left"/>
              <w:rPr>
                <w:rFonts w:asciiTheme="majorHAnsi" w:eastAsiaTheme="minorHAnsi" w:hAnsiTheme="majorHAnsi" w:cstheme="majorHAnsi"/>
                <w:sz w:val="18"/>
                <w:szCs w:val="18"/>
              </w:rPr>
            </w:pPr>
            <w:r w:rsidRPr="00D83CFF">
              <w:rPr>
                <w:rFonts w:asciiTheme="majorHAnsi" w:eastAsiaTheme="minorHAnsi" w:hAnsiTheme="majorHAnsi" w:cstheme="majorHAnsi"/>
                <w:b/>
                <w:sz w:val="18"/>
                <w:szCs w:val="18"/>
              </w:rPr>
              <w:t xml:space="preserve">EQ. </w:t>
            </w:r>
            <w:r w:rsidRPr="00D83CFF">
              <w:rPr>
                <w:rFonts w:asciiTheme="majorHAnsi" w:eastAsiaTheme="minorHAnsi" w:hAnsiTheme="majorHAnsi" w:cstheme="majorHAnsi"/>
                <w:b/>
                <w:sz w:val="18"/>
                <w:szCs w:val="18"/>
              </w:rPr>
              <w:fldChar w:fldCharType="begin"/>
            </w:r>
            <w:r w:rsidRPr="00D83CFF">
              <w:rPr>
                <w:rFonts w:asciiTheme="majorHAnsi" w:eastAsiaTheme="minorHAnsi" w:hAnsiTheme="majorHAnsi" w:cstheme="majorHAnsi"/>
                <w:b/>
                <w:sz w:val="18"/>
                <w:szCs w:val="18"/>
              </w:rPr>
              <w:instrText xml:space="preserve"> SEQ Eq. \* ARABIC </w:instrText>
            </w:r>
            <w:r w:rsidRPr="00D83CFF">
              <w:rPr>
                <w:rFonts w:asciiTheme="majorHAnsi" w:eastAsiaTheme="minorHAnsi" w:hAnsiTheme="majorHAnsi" w:cstheme="majorHAnsi"/>
                <w:b/>
                <w:sz w:val="18"/>
                <w:szCs w:val="18"/>
              </w:rPr>
              <w:fldChar w:fldCharType="separate"/>
            </w:r>
            <w:r w:rsidR="003E2BF7">
              <w:rPr>
                <w:rFonts w:asciiTheme="majorHAnsi" w:eastAsiaTheme="minorHAnsi" w:hAnsiTheme="majorHAnsi" w:cstheme="majorHAnsi"/>
                <w:b/>
                <w:noProof/>
                <w:sz w:val="18"/>
                <w:szCs w:val="18"/>
              </w:rPr>
              <w:t>32</w:t>
            </w:r>
            <w:r w:rsidRPr="00D83CFF">
              <w:rPr>
                <w:rFonts w:asciiTheme="majorHAnsi" w:eastAsiaTheme="minorHAnsi" w:hAnsiTheme="majorHAnsi" w:cstheme="majorHAnsi"/>
                <w:b/>
                <w:sz w:val="18"/>
                <w:szCs w:val="18"/>
              </w:rPr>
              <w:fldChar w:fldCharType="end"/>
            </w:r>
            <w:r w:rsidRPr="00D83CFF">
              <w:rPr>
                <w:rFonts w:asciiTheme="majorHAnsi" w:eastAsiaTheme="minorHAnsi" w:hAnsiTheme="majorHAnsi" w:cstheme="majorHAnsi"/>
                <w:b/>
                <w:sz w:val="18"/>
                <w:szCs w:val="18"/>
              </w:rPr>
              <w:tab/>
            </w:r>
            <w:r w:rsidRPr="00D83CFF">
              <w:rPr>
                <w:rFonts w:asciiTheme="majorHAnsi" w:eastAsiaTheme="minorHAnsi" w:hAnsiTheme="majorHAnsi" w:cstheme="majorHAnsi"/>
                <w:b/>
                <w:sz w:val="18"/>
                <w:szCs w:val="18"/>
              </w:rPr>
              <w:tab/>
            </w:r>
            <m:oMath>
              <m:sSub>
                <m:sSubPr>
                  <m:ctrlPr>
                    <w:rPr>
                      <w:rFonts w:ascii="Cambria Math" w:eastAsiaTheme="minorHAnsi" w:hAnsi="Cambria Math" w:cstheme="majorHAnsi"/>
                      <w:i/>
                      <w:sz w:val="18"/>
                      <w:szCs w:val="18"/>
                    </w:rPr>
                  </m:ctrlPr>
                </m:sSubPr>
                <m:e>
                  <m:r>
                    <w:rPr>
                      <w:rFonts w:ascii="Cambria Math" w:eastAsiaTheme="minorHAnsi" w:hAnsi="Cambria Math" w:cstheme="majorHAnsi"/>
                      <w:sz w:val="18"/>
                      <w:szCs w:val="18"/>
                    </w:rPr>
                    <m:t>AreaMPF</m:t>
                  </m:r>
                </m:e>
                <m:sub>
                  <m:r>
                    <w:rPr>
                      <w:rFonts w:ascii="Cambria Math" w:eastAsiaTheme="minorHAnsi" w:hAnsi="Cambria Math" w:cstheme="majorHAnsi"/>
                      <w:sz w:val="18"/>
                      <w:szCs w:val="18"/>
                    </w:rPr>
                    <m:t>RES</m:t>
                  </m:r>
                </m:sub>
              </m:sSub>
              <m:r>
                <w:rPr>
                  <w:rFonts w:ascii="Cambria Math" w:eastAsiaTheme="minorHAnsi" w:hAnsi="Cambria Math" w:cstheme="majorHAnsi"/>
                  <w:sz w:val="18"/>
                  <w:szCs w:val="18"/>
                </w:rPr>
                <m:t xml:space="preserve"> = </m:t>
              </m:r>
              <m:f>
                <m:fPr>
                  <m:ctrlPr>
                    <w:rPr>
                      <w:rFonts w:ascii="Cambria Math" w:eastAsiaTheme="minorHAnsi" w:hAnsi="Cambria Math" w:cstheme="majorHAnsi"/>
                      <w:i/>
                      <w:sz w:val="18"/>
                      <w:szCs w:val="18"/>
                    </w:rPr>
                  </m:ctrlPr>
                </m:fPr>
                <m:num>
                  <m:r>
                    <w:rPr>
                      <w:rFonts w:ascii="Cambria Math" w:eastAsiaTheme="minorHAnsi" w:hAnsi="Cambria Math" w:cstheme="majorHAnsi"/>
                      <w:sz w:val="18"/>
                      <w:szCs w:val="18"/>
                    </w:rPr>
                    <m:t>ARLF</m:t>
                  </m:r>
                </m:num>
                <m:den>
                  <m:r>
                    <w:rPr>
                      <w:rFonts w:ascii="Cambria Math" w:eastAsiaTheme="minorHAnsi" w:hAnsi="Cambria Math" w:cstheme="majorHAnsi"/>
                      <w:sz w:val="18"/>
                      <w:szCs w:val="18"/>
                    </w:rPr>
                    <m:t>ATF</m:t>
                  </m:r>
                </m:den>
              </m:f>
            </m:oMath>
          </w:p>
        </w:tc>
      </w:tr>
    </w:tbl>
    <w:p w14:paraId="6672718A" w14:textId="77777777" w:rsidR="00D83CFF" w:rsidRDefault="00D83CFF" w:rsidP="00D83CFF">
      <w:pPr>
        <w:pStyle w:val="TableTitle"/>
      </w:pPr>
    </w:p>
    <w:p w14:paraId="651D4C6A" w14:textId="38D17295" w:rsidR="00D83CFF" w:rsidRDefault="00D83CFF" w:rsidP="00D83CFF">
      <w:pPr>
        <w:pStyle w:val="Heading2"/>
      </w:pPr>
      <w:bookmarkStart w:id="76" w:name="_Toc508896719"/>
      <w:r w:rsidRPr="006C280E">
        <w:t>Normalise</w:t>
      </w:r>
      <w:r>
        <w:t xml:space="preserve"> to Produce Global </w:t>
      </w:r>
      <w:r w:rsidR="009E3B39">
        <w:t xml:space="preserve">Requirement </w:t>
      </w:r>
      <w:r>
        <w:t>Contribution Factors</w:t>
      </w:r>
      <w:bookmarkEnd w:id="76"/>
      <w:r>
        <w:t xml:space="preserve"> </w:t>
      </w:r>
    </w:p>
    <w:p w14:paraId="30FE84AA" w14:textId="7D4CC015" w:rsidR="00EB272D" w:rsidRDefault="00EB272D" w:rsidP="00EB272D">
      <w:pPr>
        <w:pStyle w:val="ResetPara"/>
      </w:pPr>
    </w:p>
    <w:p w14:paraId="671E788A" w14:textId="19780875" w:rsidR="00EB272D" w:rsidRDefault="000A3185" w:rsidP="000A3185">
      <w:pPr>
        <w:pStyle w:val="TxtFlw0"/>
      </w:pPr>
      <w:r>
        <w:t>To</w:t>
      </w:r>
      <w:r w:rsidR="00EB272D">
        <w:t xml:space="preserve"> produce a single set of </w:t>
      </w:r>
      <w:r>
        <w:t>Contribution F</w:t>
      </w:r>
      <w:r w:rsidR="00EB272D">
        <w:t>actors for the Mainland and Tasmania</w:t>
      </w:r>
      <w:r>
        <w:t xml:space="preserve"> for the purposes of NER clause 3.15.6A(j)(1), each area contribution factor c</w:t>
      </w:r>
      <w:r w:rsidR="00EB272D">
        <w:t xml:space="preserve">alculated </w:t>
      </w:r>
      <w:r w:rsidR="00A057B2">
        <w:t xml:space="preserve">under </w:t>
      </w:r>
      <w:r w:rsidR="004220A7">
        <w:t>clause</w:t>
      </w:r>
      <w:r w:rsidR="00A057B2">
        <w:t xml:space="preserve"> </w:t>
      </w:r>
      <w:r w:rsidR="00A057B2">
        <w:fldChar w:fldCharType="begin"/>
      </w:r>
      <w:r w:rsidR="00A057B2">
        <w:instrText xml:space="preserve"> REF _Ref474506794 \r \h </w:instrText>
      </w:r>
      <w:r w:rsidR="00A057B2">
        <w:fldChar w:fldCharType="separate"/>
      </w:r>
      <w:r w:rsidR="003E2BF7">
        <w:t>7.5</w:t>
      </w:r>
      <w:r w:rsidR="00A057B2">
        <w:fldChar w:fldCharType="end"/>
      </w:r>
      <w:r w:rsidR="00A057B2">
        <w:t xml:space="preserve"> </w:t>
      </w:r>
      <w:r w:rsidR="00EB272D">
        <w:t>must be normalised according to</w:t>
      </w:r>
      <w:r w:rsidR="00236646">
        <w:t xml:space="preserve"> area</w:t>
      </w:r>
      <w:r w:rsidR="00EB272D">
        <w:t xml:space="preserve"> demand.  The following equation</w:t>
      </w:r>
      <w:r w:rsidR="00236646">
        <w:t>s</w:t>
      </w:r>
      <w:r w:rsidR="00EB272D">
        <w:t xml:space="preserve"> </w:t>
      </w:r>
      <w:r w:rsidR="00236646">
        <w:t xml:space="preserve">are </w:t>
      </w:r>
      <w:r w:rsidR="00EB272D">
        <w:t xml:space="preserve">used to normalise the </w:t>
      </w:r>
      <w:r w:rsidR="00954595">
        <w:t>Contribution Factors</w:t>
      </w:r>
      <w:r w:rsidR="00EB272D">
        <w:t xml:space="preserve"> for each </w:t>
      </w:r>
      <w:r w:rsidR="00EB272D" w:rsidRPr="000A3185">
        <w:rPr>
          <w:i/>
        </w:rPr>
        <w:t>Market Participant</w:t>
      </w:r>
      <w:r w:rsidR="00E56A92">
        <w:t xml:space="preserve"> and </w:t>
      </w:r>
      <w:r w:rsidR="00954595">
        <w:t xml:space="preserve">for the </w:t>
      </w:r>
      <w:r w:rsidR="00E56A92">
        <w:t xml:space="preserve">residual </w:t>
      </w:r>
      <w:r w:rsidR="00954595">
        <w:t>component:</w:t>
      </w:r>
    </w:p>
    <w:p w14:paraId="15CC6ED1" w14:textId="73421DB9" w:rsidR="00806C88" w:rsidRDefault="00806C88" w:rsidP="00DC3B15">
      <w:pPr>
        <w:pStyle w:val="BodyText"/>
        <w:jc w:val="center"/>
        <w:rPr>
          <w:rFonts w:cs="Arial"/>
          <w:color w:val="916800" w:themeColor="accent1" w:themeShade="80"/>
          <w:szCs w:val="20"/>
        </w:rPr>
      </w:pPr>
    </w:p>
    <w:p w14:paraId="5EC3F555" w14:textId="00198A7E" w:rsidR="00806C88" w:rsidRDefault="00AF71FC" w:rsidP="00EB272D">
      <w:pPr>
        <w:pStyle w:val="BodyText"/>
        <w:jc w:val="center"/>
      </w:pPr>
      <m:oMathPara>
        <m:oMath>
          <m:sSub>
            <m:sSubPr>
              <m:ctrlPr>
                <w:rPr>
                  <w:rFonts w:ascii="Cambria Math" w:hAnsi="Cambria Math" w:cstheme="majorHAnsi"/>
                  <w:i/>
                  <w:sz w:val="18"/>
                  <w:szCs w:val="18"/>
                </w:rPr>
              </m:ctrlPr>
            </m:sSubPr>
            <m:e>
              <m:r>
                <w:rPr>
                  <w:rFonts w:ascii="Cambria Math" w:hAnsi="Cambria Math" w:cstheme="majorHAnsi"/>
                  <w:sz w:val="18"/>
                  <w:szCs w:val="18"/>
                </w:rPr>
                <m:t>MPF</m:t>
              </m:r>
            </m:e>
            <m:sub>
              <m:r>
                <w:rPr>
                  <w:rFonts w:ascii="Cambria Math" w:hAnsi="Cambria Math" w:cstheme="majorHAnsi"/>
                  <w:sz w:val="18"/>
                  <w:szCs w:val="18"/>
                </w:rPr>
                <m:t>SSS</m:t>
              </m:r>
            </m:sub>
          </m:sSub>
          <m:r>
            <w:rPr>
              <w:rFonts w:ascii="Cambria Math" w:hAnsi="Cambria Math" w:cstheme="majorHAnsi"/>
              <w:sz w:val="18"/>
              <w:szCs w:val="18"/>
            </w:rPr>
            <m:t xml:space="preserve"> =</m:t>
          </m:r>
          <m:nary>
            <m:naryPr>
              <m:chr m:val="∑"/>
              <m:limLoc m:val="undOvr"/>
              <m:supHide m:val="1"/>
              <m:ctrlPr>
                <w:rPr>
                  <w:rFonts w:ascii="Cambria Math" w:hAnsi="Cambria Math" w:cstheme="majorHAnsi"/>
                  <w:i/>
                  <w:sz w:val="18"/>
                  <w:szCs w:val="18"/>
                </w:rPr>
              </m:ctrlPr>
            </m:naryPr>
            <m:sub>
              <m:r>
                <w:rPr>
                  <w:rFonts w:ascii="Cambria Math" w:hAnsi="Cambria Math" w:cstheme="majorHAnsi"/>
                  <w:sz w:val="18"/>
                  <w:szCs w:val="18"/>
                </w:rPr>
                <m:t>Area</m:t>
              </m:r>
            </m:sub>
            <m:sup/>
            <m:e>
              <m:sSub>
                <m:sSubPr>
                  <m:ctrlPr>
                    <w:rPr>
                      <w:rFonts w:ascii="Cambria Math" w:hAnsi="Cambria Math" w:cstheme="majorHAnsi"/>
                      <w:i/>
                      <w:sz w:val="18"/>
                      <w:szCs w:val="18"/>
                    </w:rPr>
                  </m:ctrlPr>
                </m:sSubPr>
                <m:e>
                  <m:r>
                    <w:rPr>
                      <w:rFonts w:ascii="Cambria Math" w:hAnsi="Cambria Math" w:cstheme="majorHAnsi"/>
                      <w:sz w:val="18"/>
                      <w:szCs w:val="18"/>
                    </w:rPr>
                    <m:t>(AreaMPF</m:t>
                  </m:r>
                </m:e>
                <m:sub>
                  <m:r>
                    <w:rPr>
                      <w:rFonts w:ascii="Cambria Math" w:hAnsi="Cambria Math" w:cstheme="majorHAnsi"/>
                      <w:sz w:val="18"/>
                      <w:szCs w:val="18"/>
                    </w:rPr>
                    <m:t>SSS</m:t>
                  </m:r>
                </m:sub>
              </m:sSub>
              <m:r>
                <w:rPr>
                  <w:rFonts w:ascii="Cambria Math" w:hAnsi="Cambria Math" w:cstheme="majorHAnsi"/>
                  <w:sz w:val="18"/>
                  <w:szCs w:val="18"/>
                </w:rPr>
                <m:t>×</m:t>
              </m:r>
              <m:f>
                <m:fPr>
                  <m:ctrlPr>
                    <w:rPr>
                      <w:rFonts w:ascii="Cambria Math" w:hAnsi="Cambria Math" w:cstheme="majorHAnsi"/>
                      <w:i/>
                      <w:sz w:val="18"/>
                      <w:szCs w:val="18"/>
                    </w:rPr>
                  </m:ctrlPr>
                </m:fPr>
                <m:num>
                  <m:r>
                    <w:rPr>
                      <w:rFonts w:ascii="Cambria Math" w:hAnsi="Cambria Math" w:cstheme="majorHAnsi"/>
                      <w:sz w:val="18"/>
                      <w:szCs w:val="18"/>
                    </w:rPr>
                    <m:t>AAD</m:t>
                  </m:r>
                </m:num>
                <m:den>
                  <m:r>
                    <w:rPr>
                      <w:rFonts w:ascii="Cambria Math" w:hAnsi="Cambria Math" w:cstheme="majorHAnsi"/>
                      <w:sz w:val="18"/>
                      <w:szCs w:val="18"/>
                    </w:rPr>
                    <m:t>TAD</m:t>
                  </m:r>
                </m:den>
              </m:f>
            </m:e>
          </m:nary>
          <m:r>
            <w:rPr>
              <w:rFonts w:ascii="Cambria Math" w:hAnsi="Cambria Math" w:cstheme="majorHAnsi"/>
              <w:sz w:val="18"/>
              <w:szCs w:val="18"/>
            </w:rPr>
            <m:t xml:space="preserve">) </m:t>
          </m:r>
        </m:oMath>
      </m:oMathPara>
    </w:p>
    <w:p w14:paraId="096478A2" w14:textId="77777777" w:rsidR="00976718" w:rsidRDefault="00976718" w:rsidP="00976718">
      <w:pPr>
        <w:pStyle w:val="BodyText"/>
        <w:jc w:val="center"/>
        <w:rPr>
          <w:rFonts w:cs="Arial"/>
          <w:color w:val="916800" w:themeColor="accent1" w:themeShade="80"/>
          <w:szCs w:val="20"/>
        </w:rPr>
      </w:pPr>
    </w:p>
    <w:p w14:paraId="6E74854A" w14:textId="6EE2C389" w:rsidR="00976718" w:rsidRDefault="00AF71FC" w:rsidP="00976718">
      <w:pPr>
        <w:pStyle w:val="BodyText"/>
        <w:jc w:val="center"/>
      </w:pPr>
      <m:oMathPara>
        <m:oMath>
          <m:sSub>
            <m:sSubPr>
              <m:ctrlPr>
                <w:rPr>
                  <w:rFonts w:ascii="Cambria Math" w:hAnsi="Cambria Math" w:cstheme="majorHAnsi"/>
                  <w:i/>
                  <w:sz w:val="18"/>
                  <w:szCs w:val="18"/>
                </w:rPr>
              </m:ctrlPr>
            </m:sSubPr>
            <m:e>
              <m:r>
                <w:rPr>
                  <w:rFonts w:ascii="Cambria Math" w:hAnsi="Cambria Math" w:cstheme="majorHAnsi"/>
                  <w:sz w:val="18"/>
                  <w:szCs w:val="18"/>
                </w:rPr>
                <m:t>MPF</m:t>
              </m:r>
            </m:e>
            <m:sub>
              <m:r>
                <w:rPr>
                  <w:rFonts w:ascii="Cambria Math" w:hAnsi="Cambria Math" w:cstheme="majorHAnsi"/>
                  <w:sz w:val="18"/>
                  <w:szCs w:val="18"/>
                </w:rPr>
                <m:t>MNS</m:t>
              </m:r>
            </m:sub>
          </m:sSub>
          <m:r>
            <w:rPr>
              <w:rFonts w:ascii="Cambria Math" w:hAnsi="Cambria Math" w:cstheme="majorHAnsi"/>
              <w:sz w:val="18"/>
              <w:szCs w:val="18"/>
            </w:rPr>
            <m:t xml:space="preserve"> = </m:t>
          </m:r>
          <m:nary>
            <m:naryPr>
              <m:chr m:val="∑"/>
              <m:limLoc m:val="undOvr"/>
              <m:supHide m:val="1"/>
              <m:ctrlPr>
                <w:rPr>
                  <w:rFonts w:ascii="Cambria Math" w:hAnsi="Cambria Math" w:cstheme="majorHAnsi"/>
                  <w:i/>
                  <w:sz w:val="18"/>
                  <w:szCs w:val="18"/>
                </w:rPr>
              </m:ctrlPr>
            </m:naryPr>
            <m:sub>
              <m:r>
                <w:rPr>
                  <w:rFonts w:ascii="Cambria Math" w:hAnsi="Cambria Math" w:cstheme="majorHAnsi"/>
                  <w:sz w:val="18"/>
                  <w:szCs w:val="18"/>
                </w:rPr>
                <m:t>Area</m:t>
              </m:r>
            </m:sub>
            <m:sup/>
            <m:e>
              <m:sSub>
                <m:sSubPr>
                  <m:ctrlPr>
                    <w:rPr>
                      <w:rFonts w:ascii="Cambria Math" w:hAnsi="Cambria Math" w:cstheme="majorHAnsi"/>
                      <w:i/>
                      <w:sz w:val="18"/>
                      <w:szCs w:val="18"/>
                    </w:rPr>
                  </m:ctrlPr>
                </m:sSubPr>
                <m:e>
                  <m:r>
                    <w:rPr>
                      <w:rFonts w:ascii="Cambria Math" w:hAnsi="Cambria Math" w:cstheme="majorHAnsi"/>
                      <w:sz w:val="18"/>
                      <w:szCs w:val="18"/>
                    </w:rPr>
                    <m:t>(AreaMPF</m:t>
                  </m:r>
                </m:e>
                <m:sub>
                  <m:r>
                    <w:rPr>
                      <w:rFonts w:ascii="Cambria Math" w:hAnsi="Cambria Math" w:cstheme="majorHAnsi"/>
                      <w:sz w:val="18"/>
                      <w:szCs w:val="18"/>
                    </w:rPr>
                    <m:t>MNS</m:t>
                  </m:r>
                </m:sub>
              </m:sSub>
              <m:r>
                <w:rPr>
                  <w:rFonts w:ascii="Cambria Math" w:hAnsi="Cambria Math" w:cstheme="majorHAnsi"/>
                  <w:sz w:val="18"/>
                  <w:szCs w:val="18"/>
                </w:rPr>
                <m:t>×</m:t>
              </m:r>
              <m:f>
                <m:fPr>
                  <m:ctrlPr>
                    <w:rPr>
                      <w:rFonts w:ascii="Cambria Math" w:hAnsi="Cambria Math" w:cstheme="majorHAnsi"/>
                      <w:i/>
                      <w:sz w:val="18"/>
                      <w:szCs w:val="18"/>
                    </w:rPr>
                  </m:ctrlPr>
                </m:fPr>
                <m:num>
                  <m:r>
                    <w:rPr>
                      <w:rFonts w:ascii="Cambria Math" w:hAnsi="Cambria Math" w:cstheme="majorHAnsi"/>
                      <w:sz w:val="18"/>
                      <w:szCs w:val="18"/>
                    </w:rPr>
                    <m:t>AAD</m:t>
                  </m:r>
                </m:num>
                <m:den>
                  <m:r>
                    <w:rPr>
                      <w:rFonts w:ascii="Cambria Math" w:hAnsi="Cambria Math" w:cstheme="majorHAnsi"/>
                      <w:sz w:val="18"/>
                      <w:szCs w:val="18"/>
                    </w:rPr>
                    <m:t>TAD</m:t>
                  </m:r>
                </m:den>
              </m:f>
            </m:e>
          </m:nary>
          <m:r>
            <w:rPr>
              <w:rFonts w:ascii="Cambria Math" w:hAnsi="Cambria Math" w:cstheme="majorHAnsi"/>
              <w:sz w:val="18"/>
              <w:szCs w:val="18"/>
            </w:rPr>
            <m:t xml:space="preserve">) </m:t>
          </m:r>
        </m:oMath>
      </m:oMathPara>
    </w:p>
    <w:p w14:paraId="072A48B2" w14:textId="77777777" w:rsidR="00976718" w:rsidRDefault="00976718" w:rsidP="00976718">
      <w:pPr>
        <w:pStyle w:val="BodyText"/>
        <w:jc w:val="center"/>
        <w:rPr>
          <w:rFonts w:cs="Arial"/>
          <w:color w:val="916800" w:themeColor="accent1" w:themeShade="80"/>
          <w:szCs w:val="20"/>
        </w:rPr>
      </w:pPr>
    </w:p>
    <w:p w14:paraId="7C337BD9" w14:textId="0C744EB8" w:rsidR="00976718" w:rsidRDefault="00AF71FC" w:rsidP="00976718">
      <w:pPr>
        <w:pStyle w:val="BodyText"/>
        <w:jc w:val="center"/>
      </w:pPr>
      <m:oMathPara>
        <m:oMath>
          <m:sSub>
            <m:sSubPr>
              <m:ctrlPr>
                <w:rPr>
                  <w:rFonts w:ascii="Cambria Math" w:hAnsi="Cambria Math" w:cstheme="majorHAnsi"/>
                  <w:i/>
                  <w:sz w:val="18"/>
                  <w:szCs w:val="18"/>
                </w:rPr>
              </m:ctrlPr>
            </m:sSubPr>
            <m:e>
              <m:r>
                <w:rPr>
                  <w:rFonts w:ascii="Cambria Math" w:hAnsi="Cambria Math" w:cstheme="majorHAnsi"/>
                  <w:sz w:val="18"/>
                  <w:szCs w:val="18"/>
                </w:rPr>
                <m:t>MPF</m:t>
              </m:r>
            </m:e>
            <m:sub>
              <m:r>
                <w:rPr>
                  <w:rFonts w:ascii="Cambria Math" w:hAnsi="Cambria Math" w:cstheme="majorHAnsi"/>
                  <w:sz w:val="18"/>
                  <w:szCs w:val="18"/>
                </w:rPr>
                <m:t>RES</m:t>
              </m:r>
            </m:sub>
          </m:sSub>
          <m:r>
            <w:rPr>
              <w:rFonts w:ascii="Cambria Math" w:hAnsi="Cambria Math" w:cstheme="majorHAnsi"/>
              <w:sz w:val="18"/>
              <w:szCs w:val="18"/>
            </w:rPr>
            <m:t xml:space="preserve"> = </m:t>
          </m:r>
          <m:nary>
            <m:naryPr>
              <m:chr m:val="∑"/>
              <m:limLoc m:val="undOvr"/>
              <m:supHide m:val="1"/>
              <m:ctrlPr>
                <w:rPr>
                  <w:rFonts w:ascii="Cambria Math" w:hAnsi="Cambria Math" w:cstheme="majorHAnsi"/>
                  <w:i/>
                  <w:sz w:val="18"/>
                  <w:szCs w:val="18"/>
                </w:rPr>
              </m:ctrlPr>
            </m:naryPr>
            <m:sub>
              <m:r>
                <w:rPr>
                  <w:rFonts w:ascii="Cambria Math" w:hAnsi="Cambria Math" w:cstheme="majorHAnsi"/>
                  <w:sz w:val="18"/>
                  <w:szCs w:val="18"/>
                </w:rPr>
                <m:t>Area</m:t>
              </m:r>
            </m:sub>
            <m:sup/>
            <m:e>
              <m:sSub>
                <m:sSubPr>
                  <m:ctrlPr>
                    <w:rPr>
                      <w:rFonts w:ascii="Cambria Math" w:hAnsi="Cambria Math" w:cstheme="majorHAnsi"/>
                      <w:i/>
                      <w:sz w:val="18"/>
                      <w:szCs w:val="18"/>
                    </w:rPr>
                  </m:ctrlPr>
                </m:sSubPr>
                <m:e>
                  <m:r>
                    <w:rPr>
                      <w:rFonts w:ascii="Cambria Math" w:hAnsi="Cambria Math" w:cstheme="majorHAnsi"/>
                      <w:sz w:val="18"/>
                      <w:szCs w:val="18"/>
                    </w:rPr>
                    <m:t>(AreaMPF</m:t>
                  </m:r>
                </m:e>
                <m:sub>
                  <m:r>
                    <w:rPr>
                      <w:rFonts w:ascii="Cambria Math" w:hAnsi="Cambria Math" w:cstheme="majorHAnsi"/>
                      <w:sz w:val="18"/>
                      <w:szCs w:val="18"/>
                    </w:rPr>
                    <m:t>RES</m:t>
                  </m:r>
                </m:sub>
              </m:sSub>
              <m:r>
                <w:rPr>
                  <w:rFonts w:ascii="Cambria Math" w:hAnsi="Cambria Math" w:cstheme="majorHAnsi"/>
                  <w:sz w:val="18"/>
                  <w:szCs w:val="18"/>
                </w:rPr>
                <m:t>×</m:t>
              </m:r>
              <m:f>
                <m:fPr>
                  <m:ctrlPr>
                    <w:rPr>
                      <w:rFonts w:ascii="Cambria Math" w:hAnsi="Cambria Math" w:cstheme="majorHAnsi"/>
                      <w:i/>
                      <w:sz w:val="18"/>
                      <w:szCs w:val="18"/>
                    </w:rPr>
                  </m:ctrlPr>
                </m:fPr>
                <m:num>
                  <m:r>
                    <w:rPr>
                      <w:rFonts w:ascii="Cambria Math" w:hAnsi="Cambria Math" w:cstheme="majorHAnsi"/>
                      <w:sz w:val="18"/>
                      <w:szCs w:val="18"/>
                    </w:rPr>
                    <m:t>AAD</m:t>
                  </m:r>
                </m:num>
                <m:den>
                  <m:r>
                    <w:rPr>
                      <w:rFonts w:ascii="Cambria Math" w:hAnsi="Cambria Math" w:cstheme="majorHAnsi"/>
                      <w:sz w:val="18"/>
                      <w:szCs w:val="18"/>
                    </w:rPr>
                    <m:t>TAD</m:t>
                  </m:r>
                </m:den>
              </m:f>
            </m:e>
          </m:nary>
          <m:r>
            <w:rPr>
              <w:rFonts w:ascii="Cambria Math" w:hAnsi="Cambria Math" w:cstheme="majorHAnsi"/>
              <w:sz w:val="18"/>
              <w:szCs w:val="18"/>
            </w:rPr>
            <m:t xml:space="preserve">) </m:t>
          </m:r>
        </m:oMath>
      </m:oMathPara>
    </w:p>
    <w:p w14:paraId="5DD32CA4" w14:textId="77777777" w:rsidR="00976718" w:rsidRDefault="00976718" w:rsidP="000A3185">
      <w:pPr>
        <w:pStyle w:val="TxtFlw0"/>
      </w:pPr>
    </w:p>
    <w:p w14:paraId="6E643FD3" w14:textId="4A7B34EC" w:rsidR="00EB272D" w:rsidRDefault="00A057B2" w:rsidP="00094268">
      <w:pPr>
        <w:pStyle w:val="TxtFlw0"/>
        <w:numPr>
          <w:ilvl w:val="1"/>
          <w:numId w:val="27"/>
        </w:numPr>
      </w:pPr>
      <w:r>
        <w:t>Where:</w:t>
      </w:r>
      <w:r w:rsidR="00780A30">
        <w:t>MPF</w:t>
      </w:r>
      <w:r w:rsidR="00780A30">
        <w:rPr>
          <w:vertAlign w:val="subscript"/>
        </w:rPr>
        <w:t>sss</w:t>
      </w:r>
      <w:r w:rsidR="00780A30">
        <w:t>, MPF</w:t>
      </w:r>
      <w:r w:rsidR="00780A30">
        <w:rPr>
          <w:vertAlign w:val="subscript"/>
        </w:rPr>
        <w:t>MNs</w:t>
      </w:r>
      <w:r w:rsidR="00780A30">
        <w:t xml:space="preserve"> and MPF</w:t>
      </w:r>
      <w:r w:rsidR="00780A30">
        <w:rPr>
          <w:vertAlign w:val="subscript"/>
        </w:rPr>
        <w:t>RES</w:t>
      </w:r>
      <w:r w:rsidR="00B458AC">
        <w:t xml:space="preserve"> are</w:t>
      </w:r>
      <w:r w:rsidR="00EB272D">
        <w:t xml:space="preserve"> the normalised </w:t>
      </w:r>
      <w:r w:rsidR="00B458AC">
        <w:t xml:space="preserve">market </w:t>
      </w:r>
      <w:r w:rsidR="00EB272D">
        <w:t>participation factor</w:t>
      </w:r>
      <w:r w:rsidR="00B458AC">
        <w:t>s</w:t>
      </w:r>
      <w:r w:rsidR="00EB272D">
        <w:t>;</w:t>
      </w:r>
    </w:p>
    <w:p w14:paraId="16F171E6" w14:textId="0C6281E2" w:rsidR="00EB272D" w:rsidRDefault="00AA1FF9" w:rsidP="00094268">
      <w:pPr>
        <w:pStyle w:val="Lista"/>
        <w:numPr>
          <w:ilvl w:val="1"/>
          <w:numId w:val="27"/>
        </w:numPr>
      </w:pPr>
      <w:r>
        <w:t xml:space="preserve">AAD </w:t>
      </w:r>
      <w:r w:rsidR="00EB272D">
        <w:t xml:space="preserve">is the </w:t>
      </w:r>
      <w:r w:rsidR="00EB272D" w:rsidRPr="000A3185">
        <w:rPr>
          <w:i/>
        </w:rPr>
        <w:t>power system</w:t>
      </w:r>
      <w:r w:rsidR="00EB272D">
        <w:t xml:space="preserve"> demand for the area </w:t>
      </w:r>
      <w:r w:rsidR="000A3185">
        <w:t>averaged over the sample period; and</w:t>
      </w:r>
    </w:p>
    <w:p w14:paraId="0471D713" w14:textId="6C03D3D4" w:rsidR="00EB272D" w:rsidRDefault="00AA1FF9" w:rsidP="00094268">
      <w:pPr>
        <w:pStyle w:val="Lista"/>
        <w:numPr>
          <w:ilvl w:val="1"/>
          <w:numId w:val="27"/>
        </w:numPr>
      </w:pPr>
      <w:r>
        <w:t xml:space="preserve">TAD </w:t>
      </w:r>
      <w:r w:rsidR="00EB272D">
        <w:t xml:space="preserve">is the total </w:t>
      </w:r>
      <w:r w:rsidR="00EB272D" w:rsidRPr="000A3185">
        <w:rPr>
          <w:i/>
        </w:rPr>
        <w:t>power system</w:t>
      </w:r>
      <w:r w:rsidR="00EB272D">
        <w:t xml:space="preserve"> demand averaged over the sample period.</w:t>
      </w:r>
    </w:p>
    <w:p w14:paraId="69E2616D" w14:textId="77777777" w:rsidR="000B5221" w:rsidRDefault="000B5221" w:rsidP="000B5221">
      <w:pPr>
        <w:pStyle w:val="BodyText"/>
      </w:pPr>
    </w:p>
    <w:p w14:paraId="470ECB9E" w14:textId="2791F469" w:rsidR="009E3B39" w:rsidRDefault="009E3B39" w:rsidP="009E3B39">
      <w:pPr>
        <w:pStyle w:val="Heading1"/>
      </w:pPr>
      <w:bookmarkStart w:id="77" w:name="_Toc508896720"/>
      <w:r>
        <w:t xml:space="preserve">Local </w:t>
      </w:r>
      <w:r w:rsidR="000B5CBC">
        <w:t xml:space="preserve">ReQuirement </w:t>
      </w:r>
      <w:r>
        <w:t>Contribution Factors</w:t>
      </w:r>
      <w:bookmarkEnd w:id="77"/>
      <w:r>
        <w:t xml:space="preserve"> </w:t>
      </w:r>
    </w:p>
    <w:p w14:paraId="70459647" w14:textId="79EE1FB6" w:rsidR="009E3B39" w:rsidRDefault="009E3B39" w:rsidP="000776DF">
      <w:pPr>
        <w:pStyle w:val="BodyText"/>
        <w:spacing w:before="240"/>
        <w:rPr>
          <w:i/>
        </w:rPr>
      </w:pPr>
      <w:r>
        <w:t xml:space="preserve">This </w:t>
      </w:r>
      <w:r w:rsidR="004220A7">
        <w:t>clause</w:t>
      </w:r>
      <w:r>
        <w:t xml:space="preserve"> describes the process for determining </w:t>
      </w:r>
      <w:r>
        <w:rPr>
          <w:i/>
        </w:rPr>
        <w:t xml:space="preserve">Market Participant </w:t>
      </w:r>
      <w:r>
        <w:t xml:space="preserve">Contribution Factors for the purposes of NER clause 3.15.6A(j)(2), to be applied in the recovery of </w:t>
      </w:r>
      <w:r w:rsidR="0050256C">
        <w:t xml:space="preserve">Regulation FCAS </w:t>
      </w:r>
      <w:r>
        <w:t xml:space="preserve">costs for </w:t>
      </w:r>
      <w:r>
        <w:rPr>
          <w:i/>
        </w:rPr>
        <w:t>local market ancillary service requirements</w:t>
      </w:r>
      <w:r w:rsidR="000776DF">
        <w:rPr>
          <w:i/>
        </w:rPr>
        <w:t xml:space="preserve"> </w:t>
      </w:r>
      <w:r w:rsidR="000776DF">
        <w:t xml:space="preserve">(whether those requirements apply as a result of temporary asynchronous operation between </w:t>
      </w:r>
      <w:r w:rsidR="000776DF">
        <w:rPr>
          <w:i/>
        </w:rPr>
        <w:t xml:space="preserve">regions </w:t>
      </w:r>
      <w:r w:rsidR="000776DF">
        <w:t>or otherwise)</w:t>
      </w:r>
      <w:r>
        <w:rPr>
          <w:i/>
        </w:rPr>
        <w:t>.</w:t>
      </w:r>
    </w:p>
    <w:p w14:paraId="43FBDC41" w14:textId="7D957134" w:rsidR="009E3B39" w:rsidRDefault="004A6FE6" w:rsidP="009E3B39">
      <w:pPr>
        <w:pStyle w:val="Heading2"/>
      </w:pPr>
      <w:bookmarkStart w:id="78" w:name="_Toc508896721"/>
      <w:r>
        <w:lastRenderedPageBreak/>
        <w:t>General</w:t>
      </w:r>
      <w:bookmarkEnd w:id="78"/>
    </w:p>
    <w:p w14:paraId="4B1932EC" w14:textId="241DA10D" w:rsidR="00B3700C" w:rsidRDefault="00B3700C" w:rsidP="00B3700C">
      <w:pPr>
        <w:pStyle w:val="ResetPara"/>
      </w:pPr>
    </w:p>
    <w:p w14:paraId="15BBAEC4" w14:textId="6FDE8A28" w:rsidR="00456161" w:rsidRDefault="00D34986" w:rsidP="004A6FE6">
      <w:pPr>
        <w:pStyle w:val="Lista"/>
        <w:rPr>
          <w:lang w:eastAsia="en-AU"/>
        </w:rPr>
      </w:pPr>
      <w:bookmarkStart w:id="79" w:name="_Ref506804871"/>
      <w:r>
        <w:rPr>
          <w:lang w:eastAsia="en-AU"/>
        </w:rPr>
        <w:t>AEMO uses the proce</w:t>
      </w:r>
      <w:r w:rsidR="001641EE">
        <w:rPr>
          <w:lang w:eastAsia="en-AU"/>
        </w:rPr>
        <w:t xml:space="preserve">ss described in this clause </w:t>
      </w:r>
      <w:r>
        <w:rPr>
          <w:lang w:eastAsia="en-AU"/>
        </w:rPr>
        <w:t xml:space="preserve">to determine </w:t>
      </w:r>
      <w:r w:rsidR="008078E8">
        <w:rPr>
          <w:lang w:eastAsia="en-AU"/>
        </w:rPr>
        <w:t xml:space="preserve">the </w:t>
      </w:r>
      <w:r w:rsidR="001641EE">
        <w:rPr>
          <w:lang w:eastAsia="en-AU"/>
        </w:rPr>
        <w:t xml:space="preserve">Contribution Factors </w:t>
      </w:r>
      <w:r w:rsidR="004A6FE6">
        <w:rPr>
          <w:lang w:eastAsia="en-AU"/>
        </w:rPr>
        <w:t xml:space="preserve">to be applied </w:t>
      </w:r>
      <w:r w:rsidR="004A6FE6">
        <w:t>for the recovery of Regulation FCAS costs</w:t>
      </w:r>
      <w:r w:rsidR="00456161">
        <w:t>:</w:t>
      </w:r>
    </w:p>
    <w:p w14:paraId="1CA1D3A4" w14:textId="5A27A5E2" w:rsidR="00456161" w:rsidRDefault="00456161" w:rsidP="00456161">
      <w:pPr>
        <w:pStyle w:val="Listi"/>
        <w:rPr>
          <w:lang w:eastAsia="en-AU"/>
        </w:rPr>
      </w:pPr>
      <w:r>
        <w:rPr>
          <w:lang w:eastAsia="en-AU"/>
        </w:rPr>
        <w:t xml:space="preserve">when </w:t>
      </w:r>
      <w:r w:rsidR="004A6FE6">
        <w:rPr>
          <w:i/>
          <w:lang w:eastAsia="en-AU"/>
        </w:rPr>
        <w:t xml:space="preserve">regions </w:t>
      </w:r>
      <w:r w:rsidR="004A6FE6">
        <w:rPr>
          <w:lang w:eastAsia="en-AU"/>
        </w:rPr>
        <w:t xml:space="preserve">are operating asynchronously with each other </w:t>
      </w:r>
      <w:r w:rsidR="004A6FE6">
        <w:t>for the purposes of NER clause 3.15.6A(j)(2)</w:t>
      </w:r>
      <w:r>
        <w:t>;</w:t>
      </w:r>
      <w:r w:rsidR="004A6FE6">
        <w:t xml:space="preserve"> </w:t>
      </w:r>
      <w:r w:rsidR="00E71A0B">
        <w:t xml:space="preserve">and </w:t>
      </w:r>
    </w:p>
    <w:p w14:paraId="15D6E895" w14:textId="1EC1EF09" w:rsidR="001641EE" w:rsidRDefault="00456161" w:rsidP="00456161">
      <w:pPr>
        <w:pStyle w:val="Listi"/>
        <w:rPr>
          <w:lang w:eastAsia="en-AU"/>
        </w:rPr>
      </w:pPr>
      <w:r>
        <w:rPr>
          <w:lang w:eastAsia="en-AU"/>
        </w:rPr>
        <w:t xml:space="preserve">when </w:t>
      </w:r>
      <w:r w:rsidR="00D34986">
        <w:rPr>
          <w:i/>
          <w:lang w:eastAsia="en-AU"/>
        </w:rPr>
        <w:t xml:space="preserve">local market ancillary service requirements </w:t>
      </w:r>
      <w:r>
        <w:rPr>
          <w:lang w:eastAsia="en-AU"/>
        </w:rPr>
        <w:t xml:space="preserve">for Regulation FCAS </w:t>
      </w:r>
      <w:r w:rsidR="00E71A0B">
        <w:rPr>
          <w:lang w:eastAsia="en-AU"/>
        </w:rPr>
        <w:t>apply</w:t>
      </w:r>
      <w:r w:rsidR="001641EE">
        <w:rPr>
          <w:lang w:eastAsia="en-AU"/>
        </w:rPr>
        <w:t xml:space="preserve"> </w:t>
      </w:r>
      <w:r w:rsidR="00D34986">
        <w:rPr>
          <w:lang w:eastAsia="en-AU"/>
        </w:rPr>
        <w:t xml:space="preserve">in </w:t>
      </w:r>
      <w:r w:rsidR="00E71A0B">
        <w:rPr>
          <w:lang w:eastAsia="en-AU"/>
        </w:rPr>
        <w:t xml:space="preserve">any </w:t>
      </w:r>
      <w:r w:rsidR="00D34986">
        <w:rPr>
          <w:lang w:eastAsia="en-AU"/>
        </w:rPr>
        <w:t>other circumstances.</w:t>
      </w:r>
      <w:bookmarkEnd w:id="79"/>
    </w:p>
    <w:p w14:paraId="13BFC965" w14:textId="764AEA92" w:rsidR="00D34986" w:rsidRDefault="001641EE" w:rsidP="00D34986">
      <w:pPr>
        <w:pStyle w:val="Lista"/>
        <w:rPr>
          <w:lang w:eastAsia="en-AU"/>
        </w:rPr>
      </w:pPr>
      <w:r>
        <w:t>Notwithstanding paragraph</w:t>
      </w:r>
      <w:r w:rsidR="00E71A0B">
        <w:t xml:space="preserve"> </w:t>
      </w:r>
      <w:r w:rsidR="00E71A0B">
        <w:fldChar w:fldCharType="begin"/>
      </w:r>
      <w:r w:rsidR="00E71A0B">
        <w:instrText xml:space="preserve"> REF _Ref506804871 \r \h </w:instrText>
      </w:r>
      <w:r w:rsidR="00E71A0B">
        <w:fldChar w:fldCharType="separate"/>
      </w:r>
      <w:r w:rsidR="003E2BF7">
        <w:t>(a)</w:t>
      </w:r>
      <w:r w:rsidR="00E71A0B">
        <w:fldChar w:fldCharType="end"/>
      </w:r>
      <w:r w:rsidR="00456161">
        <w:t>,</w:t>
      </w:r>
      <w:r>
        <w:t xml:space="preserve"> Contribution Factors are not calculated under this clause </w:t>
      </w:r>
      <w:r w:rsidRPr="006142F7">
        <w:t xml:space="preserve">in relation to the permanent asynchronous operation of Tasmania and the </w:t>
      </w:r>
      <w:r>
        <w:t>Mainland</w:t>
      </w:r>
      <w:r w:rsidR="004A6FE6">
        <w:t xml:space="preserve"> in circumstances</w:t>
      </w:r>
      <w:r>
        <w:t xml:space="preserve"> where</w:t>
      </w:r>
      <w:r w:rsidRPr="006142F7">
        <w:t xml:space="preserve"> the Basslink frequency controller is operating normally and there is no </w:t>
      </w:r>
      <w:r w:rsidRPr="001641EE">
        <w:rPr>
          <w:i/>
        </w:rPr>
        <w:t>local market ancillary service requirement</w:t>
      </w:r>
      <w:r w:rsidRPr="006142F7">
        <w:t xml:space="preserve"> for Regulating FCAS</w:t>
      </w:r>
      <w:r>
        <w:t xml:space="preserve"> in Tasmania</w:t>
      </w:r>
      <w:r w:rsidR="00E71A0B">
        <w:t>.</w:t>
      </w:r>
    </w:p>
    <w:p w14:paraId="3F9DDBC4" w14:textId="4816FB74" w:rsidR="00D34986" w:rsidRDefault="00E71A0B" w:rsidP="00D34986">
      <w:pPr>
        <w:pStyle w:val="Lista"/>
        <w:rPr>
          <w:lang w:eastAsia="en-AU"/>
        </w:rPr>
      </w:pPr>
      <w:r>
        <w:rPr>
          <w:lang w:eastAsia="en-AU"/>
        </w:rPr>
        <w:t>T</w:t>
      </w:r>
      <w:r w:rsidR="00D34986">
        <w:rPr>
          <w:lang w:eastAsia="en-AU"/>
        </w:rPr>
        <w:t>he key inputs</w:t>
      </w:r>
      <w:r>
        <w:rPr>
          <w:lang w:eastAsia="en-AU"/>
        </w:rPr>
        <w:t xml:space="preserve"> for Contribution Factors</w:t>
      </w:r>
      <w:r w:rsidR="00D34986">
        <w:rPr>
          <w:lang w:eastAsia="en-AU"/>
        </w:rPr>
        <w:t xml:space="preserve"> </w:t>
      </w:r>
      <w:r w:rsidR="000776DF">
        <w:rPr>
          <w:lang w:eastAsia="en-AU"/>
        </w:rPr>
        <w:t xml:space="preserve">determined under this clause 8 </w:t>
      </w:r>
      <w:r w:rsidR="00D34986">
        <w:rPr>
          <w:lang w:eastAsia="en-AU"/>
        </w:rPr>
        <w:t>are:</w:t>
      </w:r>
    </w:p>
    <w:p w14:paraId="497AECE8" w14:textId="77777777" w:rsidR="00667ED5" w:rsidRDefault="00D34986" w:rsidP="00D34986">
      <w:pPr>
        <w:pStyle w:val="Listi"/>
        <w:rPr>
          <w:lang w:eastAsia="en-AU"/>
        </w:rPr>
      </w:pPr>
      <w:r>
        <w:rPr>
          <w:lang w:eastAsia="en-AU"/>
        </w:rPr>
        <w:t>the currently applicable published MPF</w:t>
      </w:r>
      <w:r w:rsidR="00667ED5">
        <w:rPr>
          <w:vertAlign w:val="subscript"/>
          <w:lang w:eastAsia="en-AU"/>
        </w:rPr>
        <w:t>SSS</w:t>
      </w:r>
      <w:r w:rsidR="00667ED5">
        <w:rPr>
          <w:lang w:eastAsia="en-AU"/>
        </w:rPr>
        <w:t xml:space="preserve"> and MPF</w:t>
      </w:r>
      <w:r w:rsidR="00667ED5">
        <w:rPr>
          <w:vertAlign w:val="subscript"/>
          <w:lang w:eastAsia="en-AU"/>
        </w:rPr>
        <w:t>MNS</w:t>
      </w:r>
      <w:r>
        <w:rPr>
          <w:lang w:eastAsia="en-AU"/>
        </w:rPr>
        <w:t xml:space="preserve"> values of those </w:t>
      </w:r>
      <w:r>
        <w:rPr>
          <w:i/>
          <w:lang w:eastAsia="en-AU"/>
        </w:rPr>
        <w:t xml:space="preserve">Market Participants </w:t>
      </w:r>
      <w:r>
        <w:rPr>
          <w:lang w:eastAsia="en-AU"/>
        </w:rPr>
        <w:t xml:space="preserve">that are relevant to the </w:t>
      </w:r>
      <w:r>
        <w:rPr>
          <w:i/>
          <w:lang w:eastAsia="en-AU"/>
        </w:rPr>
        <w:t xml:space="preserve">region(s) </w:t>
      </w:r>
      <w:r>
        <w:rPr>
          <w:lang w:eastAsia="en-AU"/>
        </w:rPr>
        <w:t xml:space="preserve">identified in a </w:t>
      </w:r>
      <w:r w:rsidRPr="009E6074">
        <w:rPr>
          <w:i/>
          <w:lang w:eastAsia="en-AU"/>
        </w:rPr>
        <w:t>constraint</w:t>
      </w:r>
      <w:r>
        <w:rPr>
          <w:i/>
          <w:lang w:eastAsia="en-AU"/>
        </w:rPr>
        <w:t xml:space="preserve"> </w:t>
      </w:r>
      <w:r>
        <w:rPr>
          <w:lang w:eastAsia="en-AU"/>
        </w:rPr>
        <w:t xml:space="preserve">for a </w:t>
      </w:r>
      <w:r>
        <w:rPr>
          <w:i/>
          <w:lang w:eastAsia="en-AU"/>
        </w:rPr>
        <w:t>local market ancillary service requirement</w:t>
      </w:r>
      <w:r w:rsidR="00E71A0B">
        <w:rPr>
          <w:lang w:eastAsia="en-AU"/>
        </w:rPr>
        <w:t>;</w:t>
      </w:r>
      <w:r>
        <w:rPr>
          <w:lang w:eastAsia="en-AU"/>
        </w:rPr>
        <w:t xml:space="preserve"> </w:t>
      </w:r>
    </w:p>
    <w:p w14:paraId="2604D143" w14:textId="57C60F6D" w:rsidR="00D34986" w:rsidRDefault="00667ED5" w:rsidP="00D34986">
      <w:pPr>
        <w:pStyle w:val="Listi"/>
        <w:rPr>
          <w:lang w:eastAsia="en-AU"/>
        </w:rPr>
      </w:pPr>
      <w:r>
        <w:rPr>
          <w:lang w:eastAsia="en-AU"/>
        </w:rPr>
        <w:t>the currently applicable published MPF</w:t>
      </w:r>
      <w:r>
        <w:rPr>
          <w:vertAlign w:val="subscript"/>
          <w:lang w:eastAsia="en-AU"/>
        </w:rPr>
        <w:t>RES</w:t>
      </w:r>
      <w:r>
        <w:rPr>
          <w:lang w:eastAsia="en-AU"/>
        </w:rPr>
        <w:t xml:space="preserve"> value </w:t>
      </w:r>
      <w:r w:rsidR="00D34986">
        <w:rPr>
          <w:lang w:eastAsia="en-AU"/>
        </w:rPr>
        <w:t>and</w:t>
      </w:r>
    </w:p>
    <w:p w14:paraId="21DCAFC3" w14:textId="77777777" w:rsidR="00D34986" w:rsidRPr="009E6074" w:rsidRDefault="00D34986" w:rsidP="00D34986">
      <w:pPr>
        <w:pStyle w:val="Listi"/>
        <w:rPr>
          <w:lang w:eastAsia="en-AU"/>
        </w:rPr>
      </w:pPr>
      <w:r>
        <w:rPr>
          <w:lang w:eastAsia="en-AU"/>
        </w:rPr>
        <w:t xml:space="preserve">the total </w:t>
      </w:r>
      <w:r>
        <w:rPr>
          <w:i/>
          <w:lang w:eastAsia="en-AU"/>
        </w:rPr>
        <w:t xml:space="preserve">customer energy </w:t>
      </w:r>
      <w:r>
        <w:rPr>
          <w:lang w:eastAsia="en-AU"/>
        </w:rPr>
        <w:t xml:space="preserve">for those </w:t>
      </w:r>
      <w:r w:rsidRPr="009E6074">
        <w:rPr>
          <w:i/>
          <w:lang w:eastAsia="en-AU"/>
        </w:rPr>
        <w:t>regions</w:t>
      </w:r>
      <w:r>
        <w:rPr>
          <w:lang w:eastAsia="en-AU"/>
        </w:rPr>
        <w:t xml:space="preserve">, and for all </w:t>
      </w:r>
      <w:r>
        <w:rPr>
          <w:i/>
          <w:lang w:eastAsia="en-AU"/>
        </w:rPr>
        <w:t xml:space="preserve">regions </w:t>
      </w:r>
      <w:r>
        <w:rPr>
          <w:lang w:eastAsia="en-AU"/>
        </w:rPr>
        <w:t xml:space="preserve">in the </w:t>
      </w:r>
      <w:r>
        <w:rPr>
          <w:i/>
          <w:lang w:eastAsia="en-AU"/>
        </w:rPr>
        <w:t>NEM</w:t>
      </w:r>
      <w:r>
        <w:rPr>
          <w:lang w:eastAsia="en-AU"/>
        </w:rPr>
        <w:t>.</w:t>
      </w:r>
      <w:r>
        <w:rPr>
          <w:i/>
          <w:lang w:eastAsia="en-AU"/>
        </w:rPr>
        <w:t xml:space="preserve"> </w:t>
      </w:r>
    </w:p>
    <w:p w14:paraId="2A4F9D10" w14:textId="3DBCD2DE" w:rsidR="00D34986" w:rsidRPr="009E6074" w:rsidRDefault="00D34986" w:rsidP="00D34986">
      <w:pPr>
        <w:pStyle w:val="Lista"/>
        <w:rPr>
          <w:lang w:eastAsia="en-AU"/>
        </w:rPr>
      </w:pPr>
      <w:r>
        <w:rPr>
          <w:lang w:eastAsia="en-AU"/>
        </w:rPr>
        <w:t>Estimates of the</w:t>
      </w:r>
      <w:r w:rsidR="007065EA">
        <w:rPr>
          <w:lang w:eastAsia="en-AU"/>
        </w:rPr>
        <w:t>se</w:t>
      </w:r>
      <w:r>
        <w:rPr>
          <w:lang w:eastAsia="en-AU"/>
        </w:rPr>
        <w:t xml:space="preserve"> Contribution Factors are provided in the </w:t>
      </w:r>
      <w:r w:rsidRPr="009E6074">
        <w:rPr>
          <w:i/>
          <w:lang w:eastAsia="en-AU"/>
        </w:rPr>
        <w:t>pre-dispatch</w:t>
      </w:r>
      <w:r>
        <w:rPr>
          <w:lang w:eastAsia="en-AU"/>
        </w:rPr>
        <w:t xml:space="preserve"> and </w:t>
      </w:r>
      <w:r w:rsidRPr="009E6074">
        <w:rPr>
          <w:i/>
          <w:lang w:eastAsia="en-AU"/>
        </w:rPr>
        <w:t>dispatch</w:t>
      </w:r>
      <w:r>
        <w:rPr>
          <w:lang w:eastAsia="en-AU"/>
        </w:rPr>
        <w:t xml:space="preserve"> timeframes (for the purposes of clause 3.15.6A(nb) of the NER) using total demand figures for each </w:t>
      </w:r>
      <w:r w:rsidRPr="00AD2518">
        <w:rPr>
          <w:i/>
          <w:lang w:eastAsia="en-AU"/>
        </w:rPr>
        <w:t>region</w:t>
      </w:r>
      <w:r>
        <w:rPr>
          <w:lang w:eastAsia="en-AU"/>
        </w:rPr>
        <w:t xml:space="preserve">, as </w:t>
      </w:r>
      <w:r>
        <w:rPr>
          <w:i/>
          <w:lang w:eastAsia="en-AU"/>
        </w:rPr>
        <w:t>customer energy</w:t>
      </w:r>
      <w:r>
        <w:rPr>
          <w:lang w:eastAsia="en-AU"/>
        </w:rPr>
        <w:t xml:space="preserve"> is only determined in the </w:t>
      </w:r>
      <w:r>
        <w:rPr>
          <w:i/>
          <w:lang w:eastAsia="en-AU"/>
        </w:rPr>
        <w:t xml:space="preserve">settlement </w:t>
      </w:r>
      <w:r>
        <w:rPr>
          <w:lang w:eastAsia="en-AU"/>
        </w:rPr>
        <w:t>timeframe.</w:t>
      </w:r>
    </w:p>
    <w:p w14:paraId="4B4944C1" w14:textId="50AB3A3C" w:rsidR="00D34986" w:rsidRDefault="00456161" w:rsidP="00456161">
      <w:pPr>
        <w:pStyle w:val="Heading2"/>
        <w:rPr>
          <w:lang w:eastAsia="en-AU"/>
        </w:rPr>
      </w:pPr>
      <w:bookmarkStart w:id="80" w:name="_Toc508896722"/>
      <w:r>
        <w:rPr>
          <w:lang w:eastAsia="en-AU"/>
        </w:rPr>
        <w:t>Identifying R</w:t>
      </w:r>
      <w:r w:rsidR="00D34986">
        <w:rPr>
          <w:lang w:eastAsia="en-AU"/>
        </w:rPr>
        <w:t>elevant Market Participants</w:t>
      </w:r>
      <w:bookmarkEnd w:id="80"/>
    </w:p>
    <w:p w14:paraId="54DF8710" w14:textId="77777777" w:rsidR="00D34986" w:rsidRDefault="00D34986" w:rsidP="00D34986">
      <w:pPr>
        <w:pStyle w:val="ResetPara"/>
        <w:rPr>
          <w:lang w:eastAsia="en-AU"/>
        </w:rPr>
      </w:pPr>
    </w:p>
    <w:p w14:paraId="1E4D60AF" w14:textId="0E854F04" w:rsidR="00D34986" w:rsidRDefault="00D34986" w:rsidP="00D34986">
      <w:pPr>
        <w:pStyle w:val="TxtFlw0"/>
        <w:jc w:val="both"/>
        <w:rPr>
          <w:lang w:eastAsia="en-AU"/>
        </w:rPr>
      </w:pPr>
      <w:r>
        <w:rPr>
          <w:lang w:eastAsia="en-AU"/>
        </w:rPr>
        <w:t xml:space="preserve">Each </w:t>
      </w:r>
      <w:r w:rsidRPr="007302C4">
        <w:rPr>
          <w:i/>
          <w:lang w:eastAsia="en-AU"/>
        </w:rPr>
        <w:t>constraint</w:t>
      </w:r>
      <w:r>
        <w:rPr>
          <w:lang w:eastAsia="en-AU"/>
        </w:rPr>
        <w:t xml:space="preserve"> for a </w:t>
      </w:r>
      <w:r w:rsidRPr="00E71A0B">
        <w:rPr>
          <w:i/>
          <w:lang w:eastAsia="en-AU"/>
        </w:rPr>
        <w:t>local market ancillary service requirement</w:t>
      </w:r>
      <w:r>
        <w:rPr>
          <w:lang w:eastAsia="en-AU"/>
        </w:rPr>
        <w:t xml:space="preserve"> for Regulati</w:t>
      </w:r>
      <w:r w:rsidR="00456161">
        <w:rPr>
          <w:lang w:eastAsia="en-AU"/>
        </w:rPr>
        <w:t>on</w:t>
      </w:r>
      <w:r>
        <w:rPr>
          <w:lang w:eastAsia="en-AU"/>
        </w:rPr>
        <w:t xml:space="preserve"> FCAS identifies one or more </w:t>
      </w:r>
      <w:r w:rsidRPr="007302C4">
        <w:rPr>
          <w:i/>
          <w:lang w:eastAsia="en-AU"/>
        </w:rPr>
        <w:t>regions</w:t>
      </w:r>
      <w:r>
        <w:rPr>
          <w:lang w:eastAsia="en-AU"/>
        </w:rPr>
        <w:t xml:space="preserve"> to which the requirement applies. Each </w:t>
      </w:r>
      <w:r>
        <w:rPr>
          <w:i/>
          <w:lang w:eastAsia="en-AU"/>
        </w:rPr>
        <w:t xml:space="preserve">Market Participant </w:t>
      </w:r>
      <w:r>
        <w:rPr>
          <w:lang w:eastAsia="en-AU"/>
        </w:rPr>
        <w:t xml:space="preserve">that is </w:t>
      </w:r>
      <w:r>
        <w:rPr>
          <w:i/>
          <w:lang w:eastAsia="en-AU"/>
        </w:rPr>
        <w:t>financially responsible</w:t>
      </w:r>
      <w:r>
        <w:rPr>
          <w:rStyle w:val="FootnoteReference"/>
          <w:i/>
          <w:lang w:eastAsia="en-AU"/>
        </w:rPr>
        <w:footnoteReference w:id="6"/>
      </w:r>
      <w:r>
        <w:rPr>
          <w:i/>
          <w:lang w:eastAsia="en-AU"/>
        </w:rPr>
        <w:t xml:space="preserve"> </w:t>
      </w:r>
      <w:r>
        <w:rPr>
          <w:lang w:eastAsia="en-AU"/>
        </w:rPr>
        <w:t xml:space="preserve">for a </w:t>
      </w:r>
      <w:r>
        <w:rPr>
          <w:i/>
          <w:lang w:eastAsia="en-AU"/>
        </w:rPr>
        <w:t xml:space="preserve">connection point </w:t>
      </w:r>
      <w:r>
        <w:rPr>
          <w:lang w:eastAsia="en-AU"/>
        </w:rPr>
        <w:t xml:space="preserve">in the </w:t>
      </w:r>
      <w:r>
        <w:rPr>
          <w:i/>
          <w:lang w:eastAsia="en-AU"/>
        </w:rPr>
        <w:t>region(s)</w:t>
      </w:r>
      <w:r>
        <w:rPr>
          <w:lang w:eastAsia="en-AU"/>
        </w:rPr>
        <w:t xml:space="preserve"> </w:t>
      </w:r>
      <w:r w:rsidR="00456161">
        <w:rPr>
          <w:lang w:eastAsia="en-AU"/>
        </w:rPr>
        <w:t xml:space="preserve">(including as a </w:t>
      </w:r>
      <w:r w:rsidR="00456161">
        <w:rPr>
          <w:i/>
          <w:lang w:eastAsia="en-AU"/>
        </w:rPr>
        <w:t>Local Retailer</w:t>
      </w:r>
      <w:r w:rsidR="00456161">
        <w:rPr>
          <w:lang w:eastAsia="en-AU"/>
        </w:rPr>
        <w:t>)</w:t>
      </w:r>
      <w:r w:rsidR="00456161">
        <w:rPr>
          <w:i/>
          <w:lang w:eastAsia="en-AU"/>
        </w:rPr>
        <w:t xml:space="preserve"> </w:t>
      </w:r>
      <w:r>
        <w:rPr>
          <w:lang w:eastAsia="en-AU"/>
        </w:rPr>
        <w:t xml:space="preserve">is ‘relevant’ to the requirement. </w:t>
      </w:r>
    </w:p>
    <w:p w14:paraId="1982D452" w14:textId="4019332D" w:rsidR="00D34986" w:rsidRDefault="00D34986" w:rsidP="00456161">
      <w:pPr>
        <w:pStyle w:val="Heading2"/>
        <w:rPr>
          <w:lang w:eastAsia="en-AU"/>
        </w:rPr>
      </w:pPr>
      <w:bookmarkStart w:id="81" w:name="_Ref506870066"/>
      <w:bookmarkStart w:id="82" w:name="_Toc508896723"/>
      <w:r>
        <w:rPr>
          <w:lang w:eastAsia="en-AU"/>
        </w:rPr>
        <w:t xml:space="preserve">Calculating CMPF, CRMPF and RAMPF </w:t>
      </w:r>
      <w:r w:rsidR="00456161">
        <w:rPr>
          <w:lang w:eastAsia="en-AU"/>
        </w:rPr>
        <w:t>V</w:t>
      </w:r>
      <w:r>
        <w:rPr>
          <w:lang w:eastAsia="en-AU"/>
        </w:rPr>
        <w:t>alues</w:t>
      </w:r>
      <w:bookmarkEnd w:id="81"/>
      <w:bookmarkEnd w:id="82"/>
    </w:p>
    <w:p w14:paraId="4B1810D9" w14:textId="77777777" w:rsidR="00D34986" w:rsidRDefault="00D34986" w:rsidP="00D34986">
      <w:pPr>
        <w:pStyle w:val="ResetPara"/>
        <w:rPr>
          <w:lang w:eastAsia="en-AU"/>
        </w:rPr>
      </w:pPr>
    </w:p>
    <w:p w14:paraId="754B4479" w14:textId="20FC1353" w:rsidR="00D34986" w:rsidRPr="00BE4EBE" w:rsidRDefault="00D34986" w:rsidP="00D34986">
      <w:pPr>
        <w:pStyle w:val="TxtFlw0"/>
        <w:rPr>
          <w:lang w:eastAsia="en-AU"/>
        </w:rPr>
      </w:pPr>
      <w:r>
        <w:rPr>
          <w:lang w:eastAsia="en-AU"/>
        </w:rPr>
        <w:t xml:space="preserve">For each </w:t>
      </w:r>
      <w:r>
        <w:rPr>
          <w:i/>
          <w:lang w:eastAsia="en-AU"/>
        </w:rPr>
        <w:t xml:space="preserve">local market ancillary service requirement </w:t>
      </w:r>
      <w:r>
        <w:rPr>
          <w:lang w:eastAsia="en-AU"/>
        </w:rPr>
        <w:t>for Regulati</w:t>
      </w:r>
      <w:r w:rsidR="00456161">
        <w:rPr>
          <w:lang w:eastAsia="en-AU"/>
        </w:rPr>
        <w:t>on</w:t>
      </w:r>
      <w:r>
        <w:rPr>
          <w:lang w:eastAsia="en-AU"/>
        </w:rPr>
        <w:t xml:space="preserve"> FCAS, AEMO calculates:</w:t>
      </w:r>
    </w:p>
    <w:p w14:paraId="638EC885" w14:textId="3035841A" w:rsidR="00D34986" w:rsidRDefault="00D34986" w:rsidP="00D34986">
      <w:pPr>
        <w:pStyle w:val="Lista"/>
        <w:rPr>
          <w:lang w:eastAsia="en-AU"/>
        </w:rPr>
      </w:pPr>
      <w:r>
        <w:rPr>
          <w:lang w:eastAsia="en-AU"/>
        </w:rPr>
        <w:t xml:space="preserve">the Constraint MPF (CMPF), being the sum of the currently applicable </w:t>
      </w:r>
      <w:r>
        <w:rPr>
          <w:i/>
          <w:lang w:eastAsia="en-AU"/>
        </w:rPr>
        <w:t xml:space="preserve">NEM </w:t>
      </w:r>
      <w:r>
        <w:rPr>
          <w:lang w:eastAsia="en-AU"/>
        </w:rPr>
        <w:t xml:space="preserve">values of </w:t>
      </w:r>
      <w:r w:rsidR="00D938D7">
        <w:rPr>
          <w:lang w:eastAsia="en-AU"/>
        </w:rPr>
        <w:t>MPF</w:t>
      </w:r>
      <w:r w:rsidR="00D938D7">
        <w:rPr>
          <w:vertAlign w:val="subscript"/>
          <w:lang w:eastAsia="en-AU"/>
        </w:rPr>
        <w:t>SSS</w:t>
      </w:r>
      <w:r w:rsidR="00DB7CEF">
        <w:rPr>
          <w:lang w:eastAsia="en-AU"/>
        </w:rPr>
        <w:t xml:space="preserve"> and</w:t>
      </w:r>
      <w:r w:rsidR="00D938D7">
        <w:rPr>
          <w:lang w:eastAsia="en-AU"/>
        </w:rPr>
        <w:t xml:space="preserve"> MPF</w:t>
      </w:r>
      <w:r w:rsidR="00DB7CEF">
        <w:rPr>
          <w:vertAlign w:val="subscript"/>
          <w:lang w:eastAsia="en-AU"/>
        </w:rPr>
        <w:t>MNS</w:t>
      </w:r>
      <w:r w:rsidR="00D938D7">
        <w:rPr>
          <w:lang w:eastAsia="en-AU"/>
        </w:rPr>
        <w:t xml:space="preserve"> </w:t>
      </w:r>
      <w:r>
        <w:rPr>
          <w:lang w:eastAsia="en-AU"/>
        </w:rPr>
        <w:t xml:space="preserve">for all relevant </w:t>
      </w:r>
      <w:r>
        <w:rPr>
          <w:i/>
          <w:lang w:eastAsia="en-AU"/>
        </w:rPr>
        <w:t>Market Participants</w:t>
      </w:r>
      <w:r>
        <w:rPr>
          <w:lang w:eastAsia="en-AU"/>
        </w:rPr>
        <w:t>; and</w:t>
      </w:r>
    </w:p>
    <w:p w14:paraId="77AF8C2D" w14:textId="77777777" w:rsidR="00D34986" w:rsidRDefault="00D34986" w:rsidP="00D34986">
      <w:pPr>
        <w:pStyle w:val="Lista"/>
        <w:rPr>
          <w:lang w:eastAsia="en-AU"/>
        </w:rPr>
      </w:pPr>
      <w:r>
        <w:rPr>
          <w:lang w:eastAsia="en-AU"/>
        </w:rPr>
        <w:t>the Constraint Residual MPF (CRMPF), as follows:</w:t>
      </w:r>
    </w:p>
    <w:p w14:paraId="24A18FD6" w14:textId="5BCC94D4" w:rsidR="00D34986" w:rsidRPr="00437855" w:rsidRDefault="00D34986" w:rsidP="00D34986">
      <w:pPr>
        <w:pStyle w:val="ParaFlw2"/>
      </w:pPr>
      <w:r>
        <w:t>CRMPF =</w:t>
      </w:r>
      <w:r w:rsidR="00DB7CEF">
        <w:t xml:space="preserve"> MPF</w:t>
      </w:r>
      <w:r w:rsidR="00DB7CEF">
        <w:rPr>
          <w:vertAlign w:val="subscript"/>
        </w:rPr>
        <w:t>RES</w:t>
      </w:r>
      <w:r>
        <w:t xml:space="preserve"> x </w:t>
      </w:r>
      <m:oMath>
        <m:f>
          <m:fPr>
            <m:ctrlPr>
              <w:rPr>
                <w:rFonts w:ascii="Cambria Math" w:hAnsi="Cambria Math" w:cs="Arial"/>
                <w:sz w:val="24"/>
                <w:szCs w:val="24"/>
              </w:rPr>
            </m:ctrlPr>
          </m:fPr>
          <m:num>
            <m:r>
              <m:rPr>
                <m:sty m:val="p"/>
              </m:rPr>
              <w:rPr>
                <w:rFonts w:ascii="Cambria Math" w:hAnsi="Cambria Math" w:cs="Arial"/>
                <w:sz w:val="24"/>
                <w:szCs w:val="24"/>
              </w:rPr>
              <m:t>ΣATCE (</m:t>
            </m:r>
            <m:r>
              <w:rPr>
                <w:rFonts w:ascii="Cambria Math" w:hAnsi="Cambria Math" w:cs="Arial"/>
                <w:sz w:val="24"/>
                <w:szCs w:val="24"/>
              </w:rPr>
              <m:t>Regions</m:t>
            </m:r>
            <m:r>
              <m:rPr>
                <m:sty m:val="p"/>
              </m:rPr>
              <w:rPr>
                <w:rFonts w:ascii="Cambria Math" w:hAnsi="Cambria Math" w:cs="Arial"/>
                <w:sz w:val="24"/>
                <w:szCs w:val="24"/>
              </w:rPr>
              <m:t xml:space="preserve"> included in the requirement)</m:t>
            </m:r>
          </m:num>
          <m:den>
            <m:r>
              <m:rPr>
                <m:sty m:val="p"/>
              </m:rPr>
              <w:rPr>
                <w:rFonts w:ascii="Cambria Math" w:hAnsi="Cambria Math" w:cs="Arial"/>
                <w:sz w:val="24"/>
                <w:szCs w:val="24"/>
              </w:rPr>
              <m:t xml:space="preserve">ΣATCE (All </m:t>
            </m:r>
            <m:r>
              <w:rPr>
                <w:rFonts w:ascii="Cambria Math" w:hAnsi="Cambria Math" w:cs="Arial"/>
                <w:sz w:val="24"/>
                <w:szCs w:val="24"/>
              </w:rPr>
              <m:t>regions</m:t>
            </m:r>
            <m:r>
              <m:rPr>
                <m:sty m:val="p"/>
              </m:rPr>
              <w:rPr>
                <w:rFonts w:ascii="Cambria Math" w:hAnsi="Cambria Math" w:cs="Arial"/>
                <w:sz w:val="24"/>
                <w:szCs w:val="24"/>
              </w:rPr>
              <m:t>)</m:t>
            </m:r>
          </m:den>
        </m:f>
      </m:oMath>
    </w:p>
    <w:p w14:paraId="6517D763" w14:textId="77777777" w:rsidR="00D34986" w:rsidRDefault="00D34986" w:rsidP="00D34986">
      <w:pPr>
        <w:pStyle w:val="ParaFlw1"/>
        <w:rPr>
          <w:lang w:eastAsia="en-AU"/>
        </w:rPr>
      </w:pPr>
      <w:r>
        <w:rPr>
          <w:lang w:eastAsia="en-AU"/>
        </w:rPr>
        <w:t>where:</w:t>
      </w:r>
    </w:p>
    <w:p w14:paraId="5EAED837" w14:textId="0B31AA74" w:rsidR="00D34986" w:rsidRDefault="00DB7CEF" w:rsidP="00D34986">
      <w:pPr>
        <w:pStyle w:val="Listi"/>
        <w:rPr>
          <w:lang w:eastAsia="en-AU"/>
        </w:rPr>
      </w:pPr>
      <w:r>
        <w:t>MPF</w:t>
      </w:r>
      <w:r>
        <w:rPr>
          <w:vertAlign w:val="subscript"/>
        </w:rPr>
        <w:t>RES</w:t>
      </w:r>
      <w:r w:rsidR="00D34986">
        <w:rPr>
          <w:lang w:eastAsia="en-AU"/>
        </w:rPr>
        <w:t xml:space="preserve"> = the currently applicable value of MPF for the </w:t>
      </w:r>
      <w:r w:rsidR="00D34986">
        <w:rPr>
          <w:i/>
          <w:lang w:eastAsia="en-AU"/>
        </w:rPr>
        <w:t>NEM</w:t>
      </w:r>
      <w:r w:rsidR="00D34986">
        <w:rPr>
          <w:lang w:eastAsia="en-AU"/>
        </w:rPr>
        <w:t>,</w:t>
      </w:r>
      <w:r w:rsidR="00D34986">
        <w:rPr>
          <w:i/>
          <w:lang w:eastAsia="en-AU"/>
        </w:rPr>
        <w:t xml:space="preserve"> </w:t>
      </w:r>
      <w:r w:rsidR="00D34986">
        <w:rPr>
          <w:lang w:eastAsia="en-AU"/>
        </w:rPr>
        <w:t xml:space="preserve">representing the aggregate Contribution Factor set for </w:t>
      </w:r>
      <w:r w:rsidR="00D34986">
        <w:rPr>
          <w:i/>
          <w:lang w:eastAsia="en-AU"/>
        </w:rPr>
        <w:t xml:space="preserve">Market Customers </w:t>
      </w:r>
      <w:r w:rsidR="00D34986">
        <w:rPr>
          <w:lang w:eastAsia="en-AU"/>
        </w:rPr>
        <w:t xml:space="preserve">without appropriate </w:t>
      </w:r>
      <w:r w:rsidR="00D34986">
        <w:rPr>
          <w:i/>
          <w:lang w:eastAsia="en-AU"/>
        </w:rPr>
        <w:t xml:space="preserve">metering </w:t>
      </w:r>
      <w:r w:rsidR="00D34986">
        <w:rPr>
          <w:lang w:eastAsia="en-AU"/>
        </w:rPr>
        <w:t xml:space="preserve">under clause 3.15.6A(i)(2) of the NER; and </w:t>
      </w:r>
    </w:p>
    <w:p w14:paraId="74A99B5B" w14:textId="610B9CE3" w:rsidR="00D34986" w:rsidRDefault="00D34986" w:rsidP="00D34986">
      <w:pPr>
        <w:pStyle w:val="Listi"/>
        <w:rPr>
          <w:lang w:eastAsia="en-AU"/>
        </w:rPr>
      </w:pPr>
      <w:r>
        <w:rPr>
          <w:lang w:eastAsia="en-AU"/>
        </w:rPr>
        <w:t xml:space="preserve">ATCE = Aggregate Total Customer Energy, the half-hourly sum of total </w:t>
      </w:r>
      <w:r>
        <w:rPr>
          <w:i/>
          <w:lang w:eastAsia="en-AU"/>
        </w:rPr>
        <w:t xml:space="preserve">customer energy </w:t>
      </w:r>
      <w:r>
        <w:rPr>
          <w:lang w:eastAsia="en-AU"/>
        </w:rPr>
        <w:t xml:space="preserve">for a </w:t>
      </w:r>
      <w:r w:rsidRPr="00456161">
        <w:rPr>
          <w:i/>
          <w:lang w:eastAsia="en-AU"/>
        </w:rPr>
        <w:t>region</w:t>
      </w:r>
      <w:r>
        <w:rPr>
          <w:lang w:eastAsia="en-AU"/>
        </w:rPr>
        <w:t xml:space="preserve">. ATCE values would be the same for every </w:t>
      </w:r>
      <w:r>
        <w:rPr>
          <w:i/>
          <w:lang w:eastAsia="en-AU"/>
        </w:rPr>
        <w:t xml:space="preserve">dispatch interval </w:t>
      </w:r>
      <w:r>
        <w:rPr>
          <w:lang w:eastAsia="en-AU"/>
        </w:rPr>
        <w:t xml:space="preserve">within a </w:t>
      </w:r>
      <w:r>
        <w:rPr>
          <w:i/>
          <w:lang w:eastAsia="en-AU"/>
        </w:rPr>
        <w:t>trading interval</w:t>
      </w:r>
      <w:r w:rsidR="0050256C">
        <w:rPr>
          <w:lang w:eastAsia="en-AU"/>
        </w:rPr>
        <w:t>; and</w:t>
      </w:r>
    </w:p>
    <w:p w14:paraId="29B9E90C" w14:textId="77777777" w:rsidR="00D34986" w:rsidRDefault="00D34986" w:rsidP="00D34986">
      <w:pPr>
        <w:pStyle w:val="Lista"/>
        <w:rPr>
          <w:lang w:eastAsia="en-AU"/>
        </w:rPr>
      </w:pPr>
      <w:r w:rsidRPr="00000BA5">
        <w:rPr>
          <w:lang w:eastAsia="en-AU"/>
        </w:rPr>
        <w:t>the Regional Aggregate Market Participation Factor (RAMPF), being the sum of CMPF and CRMPF.</w:t>
      </w:r>
    </w:p>
    <w:p w14:paraId="73D759ED" w14:textId="7048B4A6" w:rsidR="00D34986" w:rsidRDefault="00456161" w:rsidP="00456161">
      <w:pPr>
        <w:pStyle w:val="Heading2"/>
        <w:rPr>
          <w:lang w:eastAsia="en-AU"/>
        </w:rPr>
      </w:pPr>
      <w:bookmarkStart w:id="83" w:name="_Toc508896724"/>
      <w:r>
        <w:rPr>
          <w:lang w:eastAsia="en-AU"/>
        </w:rPr>
        <w:lastRenderedPageBreak/>
        <w:t>I</w:t>
      </w:r>
      <w:r w:rsidR="00D34986">
        <w:rPr>
          <w:lang w:eastAsia="en-AU"/>
        </w:rPr>
        <w:t>ndividual</w:t>
      </w:r>
      <w:r>
        <w:rPr>
          <w:lang w:eastAsia="en-AU"/>
        </w:rPr>
        <w:t xml:space="preserve"> and Residual </w:t>
      </w:r>
      <w:r w:rsidR="00D34986">
        <w:rPr>
          <w:lang w:eastAsia="en-AU"/>
        </w:rPr>
        <w:t>Contribution Factors</w:t>
      </w:r>
      <w:bookmarkEnd w:id="83"/>
    </w:p>
    <w:p w14:paraId="30474568" w14:textId="77777777" w:rsidR="00456161" w:rsidRPr="00456161" w:rsidRDefault="00456161" w:rsidP="00456161">
      <w:pPr>
        <w:pStyle w:val="ResetPara"/>
        <w:rPr>
          <w:lang w:eastAsia="en-AU"/>
        </w:rPr>
      </w:pPr>
    </w:p>
    <w:p w14:paraId="27A1C5F8" w14:textId="272F34A9" w:rsidR="00D34986" w:rsidRDefault="00D34986" w:rsidP="00456161">
      <w:pPr>
        <w:pStyle w:val="Lista"/>
        <w:rPr>
          <w:lang w:eastAsia="en-AU"/>
        </w:rPr>
      </w:pPr>
      <w:r>
        <w:rPr>
          <w:lang w:eastAsia="en-AU"/>
        </w:rPr>
        <w:t xml:space="preserve">For each </w:t>
      </w:r>
      <w:r>
        <w:rPr>
          <w:i/>
          <w:iCs/>
          <w:lang w:eastAsia="en-AU"/>
        </w:rPr>
        <w:t>Market Participant</w:t>
      </w:r>
      <w:r>
        <w:rPr>
          <w:lang w:eastAsia="en-AU"/>
        </w:rPr>
        <w:t xml:space="preserve"> </w:t>
      </w:r>
      <w:r w:rsidR="000776DF">
        <w:rPr>
          <w:lang w:eastAsia="en-AU"/>
        </w:rPr>
        <w:t xml:space="preserve">with </w:t>
      </w:r>
      <w:r>
        <w:rPr>
          <w:lang w:eastAsia="en-AU"/>
        </w:rPr>
        <w:t xml:space="preserve">a published </w:t>
      </w:r>
      <w:r w:rsidR="00DB7CEF">
        <w:rPr>
          <w:lang w:eastAsia="en-AU"/>
        </w:rPr>
        <w:t>MPF</w:t>
      </w:r>
      <w:r w:rsidR="00DB7CEF">
        <w:rPr>
          <w:vertAlign w:val="subscript"/>
          <w:lang w:eastAsia="en-AU"/>
        </w:rPr>
        <w:t>SSS</w:t>
      </w:r>
      <w:r w:rsidR="00DB7CEF">
        <w:rPr>
          <w:lang w:eastAsia="en-AU"/>
        </w:rPr>
        <w:t xml:space="preserve"> or MPF</w:t>
      </w:r>
      <w:r w:rsidR="00DB7CEF">
        <w:rPr>
          <w:vertAlign w:val="subscript"/>
          <w:lang w:eastAsia="en-AU"/>
        </w:rPr>
        <w:t>MNS</w:t>
      </w:r>
      <w:r>
        <w:rPr>
          <w:lang w:eastAsia="en-AU"/>
        </w:rPr>
        <w:t xml:space="preserve">, and which is relevant to </w:t>
      </w:r>
      <w:r w:rsidR="006A6FB3">
        <w:rPr>
          <w:lang w:eastAsia="en-AU"/>
        </w:rPr>
        <w:t>a</w:t>
      </w:r>
      <w:r>
        <w:rPr>
          <w:lang w:eastAsia="en-AU"/>
        </w:rPr>
        <w:t xml:space="preserve"> </w:t>
      </w:r>
      <w:r>
        <w:rPr>
          <w:i/>
          <w:iCs/>
          <w:lang w:eastAsia="en-AU"/>
        </w:rPr>
        <w:t xml:space="preserve">local market ancillary service requirement </w:t>
      </w:r>
      <w:r>
        <w:rPr>
          <w:lang w:eastAsia="en-AU"/>
        </w:rPr>
        <w:t>for Regulati</w:t>
      </w:r>
      <w:r w:rsidR="00456161">
        <w:rPr>
          <w:lang w:eastAsia="en-AU"/>
        </w:rPr>
        <w:t>on</w:t>
      </w:r>
      <w:r>
        <w:rPr>
          <w:lang w:eastAsia="en-AU"/>
        </w:rPr>
        <w:t xml:space="preserve"> FCAS, the </w:t>
      </w:r>
      <w:r>
        <w:rPr>
          <w:i/>
          <w:iCs/>
          <w:lang w:eastAsia="en-AU"/>
        </w:rPr>
        <w:t>Market Participant’s</w:t>
      </w:r>
      <w:r>
        <w:rPr>
          <w:lang w:eastAsia="en-AU"/>
        </w:rPr>
        <w:t xml:space="preserve"> individual Contribution Factor is determined as a percentage by dividing</w:t>
      </w:r>
      <w:r w:rsidR="00DB7CEF">
        <w:rPr>
          <w:lang w:eastAsia="en-AU"/>
        </w:rPr>
        <w:t xml:space="preserve"> MPF</w:t>
      </w:r>
      <w:r w:rsidR="00DB7CEF">
        <w:rPr>
          <w:vertAlign w:val="subscript"/>
          <w:lang w:eastAsia="en-AU"/>
        </w:rPr>
        <w:t>SSS</w:t>
      </w:r>
      <w:r w:rsidR="00DB7CEF">
        <w:rPr>
          <w:lang w:eastAsia="en-AU"/>
        </w:rPr>
        <w:t xml:space="preserve"> or MPF</w:t>
      </w:r>
      <w:r w:rsidR="00DB7CEF">
        <w:rPr>
          <w:vertAlign w:val="subscript"/>
          <w:lang w:eastAsia="en-AU"/>
        </w:rPr>
        <w:t xml:space="preserve">MNS </w:t>
      </w:r>
      <w:r w:rsidR="00DB7CEF">
        <w:rPr>
          <w:lang w:eastAsia="en-AU"/>
        </w:rPr>
        <w:t xml:space="preserve">(as applicable) </w:t>
      </w:r>
      <w:r>
        <w:rPr>
          <w:lang w:eastAsia="en-AU"/>
        </w:rPr>
        <w:t>by RAMPF.</w:t>
      </w:r>
    </w:p>
    <w:p w14:paraId="5FEF37AE" w14:textId="411A06E0" w:rsidR="00D34986" w:rsidRDefault="00D34986" w:rsidP="00456161">
      <w:pPr>
        <w:pStyle w:val="Lista"/>
        <w:rPr>
          <w:lang w:eastAsia="en-AU"/>
        </w:rPr>
      </w:pPr>
      <w:r>
        <w:rPr>
          <w:lang w:eastAsia="en-AU"/>
        </w:rPr>
        <w:t xml:space="preserve">For each </w:t>
      </w:r>
      <w:r w:rsidRPr="00456161">
        <w:rPr>
          <w:i/>
          <w:iCs/>
          <w:lang w:eastAsia="en-AU"/>
        </w:rPr>
        <w:t>Market Customer</w:t>
      </w:r>
      <w:r>
        <w:rPr>
          <w:lang w:eastAsia="en-AU"/>
        </w:rPr>
        <w:t xml:space="preserve"> which is relevant to the </w:t>
      </w:r>
      <w:r w:rsidRPr="00456161">
        <w:rPr>
          <w:i/>
          <w:iCs/>
          <w:lang w:eastAsia="en-AU"/>
        </w:rPr>
        <w:t xml:space="preserve">local market ancillary service requirement </w:t>
      </w:r>
      <w:r>
        <w:rPr>
          <w:lang w:eastAsia="en-AU"/>
        </w:rPr>
        <w:t>for Regulati</w:t>
      </w:r>
      <w:r w:rsidR="00456161">
        <w:rPr>
          <w:lang w:eastAsia="en-AU"/>
        </w:rPr>
        <w:t>on</w:t>
      </w:r>
      <w:r>
        <w:rPr>
          <w:lang w:eastAsia="en-AU"/>
        </w:rPr>
        <w:t xml:space="preserve"> FCAS, their share of the allocation of Regulati</w:t>
      </w:r>
      <w:r w:rsidR="00456161">
        <w:rPr>
          <w:lang w:eastAsia="en-AU"/>
        </w:rPr>
        <w:t>on</w:t>
      </w:r>
      <w:r>
        <w:rPr>
          <w:lang w:eastAsia="en-AU"/>
        </w:rPr>
        <w:t xml:space="preserve"> FCAS costs is based on the aggregate </w:t>
      </w:r>
      <w:r w:rsidR="006A6FB3">
        <w:rPr>
          <w:lang w:eastAsia="en-AU"/>
        </w:rPr>
        <w:t>r</w:t>
      </w:r>
      <w:r>
        <w:rPr>
          <w:lang w:eastAsia="en-AU"/>
        </w:rPr>
        <w:t xml:space="preserve">esidual </w:t>
      </w:r>
      <w:r w:rsidR="006A6FB3">
        <w:rPr>
          <w:lang w:eastAsia="en-AU"/>
        </w:rPr>
        <w:t xml:space="preserve">demand </w:t>
      </w:r>
      <w:r>
        <w:rPr>
          <w:lang w:eastAsia="en-AU"/>
        </w:rPr>
        <w:t>Contribution Factor, which is determined as a percentage by dividing CRMPF by RAMPF.</w:t>
      </w:r>
    </w:p>
    <w:p w14:paraId="38B0F6AB" w14:textId="18317059" w:rsidR="00D34986" w:rsidRDefault="00456161" w:rsidP="00456161">
      <w:pPr>
        <w:pStyle w:val="Heading2"/>
        <w:rPr>
          <w:lang w:eastAsia="en-AU"/>
        </w:rPr>
      </w:pPr>
      <w:bookmarkStart w:id="84" w:name="_Toc508896725"/>
      <w:r>
        <w:rPr>
          <w:lang w:eastAsia="en-AU"/>
        </w:rPr>
        <w:t>Estimated CMPF and CRMPF V</w:t>
      </w:r>
      <w:r w:rsidR="00D34986">
        <w:rPr>
          <w:lang w:eastAsia="en-AU"/>
        </w:rPr>
        <w:t>alues</w:t>
      </w:r>
      <w:bookmarkEnd w:id="84"/>
    </w:p>
    <w:p w14:paraId="3918ABD9" w14:textId="77777777" w:rsidR="00456161" w:rsidRPr="00456161" w:rsidRDefault="00456161" w:rsidP="00456161">
      <w:pPr>
        <w:pStyle w:val="ResetPara"/>
        <w:rPr>
          <w:lang w:eastAsia="en-AU"/>
        </w:rPr>
      </w:pPr>
    </w:p>
    <w:p w14:paraId="77F3D5DC" w14:textId="77777777" w:rsidR="00D34986" w:rsidRPr="00AE1DA4" w:rsidRDefault="00D34986" w:rsidP="00D34986">
      <w:pPr>
        <w:pStyle w:val="ResetPara"/>
        <w:rPr>
          <w:lang w:eastAsia="en-AU"/>
        </w:rPr>
      </w:pPr>
    </w:p>
    <w:p w14:paraId="60604DA9" w14:textId="0045F980" w:rsidR="00D34986" w:rsidRDefault="00D34986" w:rsidP="00D34986">
      <w:pPr>
        <w:pStyle w:val="Lista"/>
        <w:rPr>
          <w:lang w:eastAsia="en-AU"/>
        </w:rPr>
      </w:pPr>
      <w:r>
        <w:rPr>
          <w:lang w:eastAsia="en-AU"/>
        </w:rPr>
        <w:t xml:space="preserve">For each </w:t>
      </w:r>
      <w:r w:rsidRPr="00AE1DA4">
        <w:rPr>
          <w:i/>
          <w:lang w:eastAsia="en-AU"/>
        </w:rPr>
        <w:t>dispatch interval</w:t>
      </w:r>
      <w:r>
        <w:rPr>
          <w:lang w:eastAsia="en-AU"/>
        </w:rPr>
        <w:t xml:space="preserve"> in </w:t>
      </w:r>
      <w:r w:rsidRPr="00AE1DA4">
        <w:rPr>
          <w:i/>
          <w:lang w:eastAsia="en-AU"/>
        </w:rPr>
        <w:t>dispatch</w:t>
      </w:r>
      <w:r>
        <w:rPr>
          <w:lang w:eastAsia="en-AU"/>
        </w:rPr>
        <w:t xml:space="preserve"> and (where possible) each </w:t>
      </w:r>
      <w:r w:rsidRPr="00AE1DA4">
        <w:rPr>
          <w:i/>
          <w:lang w:eastAsia="en-AU"/>
        </w:rPr>
        <w:t>trading interval</w:t>
      </w:r>
      <w:r>
        <w:rPr>
          <w:lang w:eastAsia="en-AU"/>
        </w:rPr>
        <w:t xml:space="preserve"> in </w:t>
      </w:r>
      <w:r w:rsidRPr="00AE1DA4">
        <w:rPr>
          <w:i/>
          <w:lang w:eastAsia="en-AU"/>
        </w:rPr>
        <w:t>pre</w:t>
      </w:r>
      <w:r>
        <w:rPr>
          <w:i/>
          <w:lang w:eastAsia="en-AU"/>
        </w:rPr>
        <w:t>-</w:t>
      </w:r>
      <w:r w:rsidRPr="00AE1DA4">
        <w:rPr>
          <w:i/>
          <w:lang w:eastAsia="en-AU"/>
        </w:rPr>
        <w:t>dispatch</w:t>
      </w:r>
      <w:r>
        <w:rPr>
          <w:i/>
          <w:lang w:eastAsia="en-AU"/>
        </w:rPr>
        <w:t xml:space="preserve"> </w:t>
      </w:r>
      <w:r>
        <w:rPr>
          <w:lang w:eastAsia="en-AU"/>
        </w:rPr>
        <w:t>during a period of asynchronous operation,</w:t>
      </w:r>
      <w:r>
        <w:rPr>
          <w:i/>
          <w:lang w:eastAsia="en-AU"/>
        </w:rPr>
        <w:t xml:space="preserve"> </w:t>
      </w:r>
      <w:r>
        <w:rPr>
          <w:lang w:eastAsia="en-AU"/>
        </w:rPr>
        <w:t xml:space="preserve">AEMO </w:t>
      </w:r>
      <w:r>
        <w:rPr>
          <w:i/>
          <w:lang w:eastAsia="en-AU"/>
        </w:rPr>
        <w:t xml:space="preserve">publishes </w:t>
      </w:r>
      <w:r>
        <w:rPr>
          <w:lang w:eastAsia="en-AU"/>
        </w:rPr>
        <w:t xml:space="preserve">estimates of the CMPF and the CRMPF applicable to each </w:t>
      </w:r>
      <w:r>
        <w:rPr>
          <w:i/>
          <w:lang w:eastAsia="en-AU"/>
        </w:rPr>
        <w:t xml:space="preserve">local market ancillary service requirement </w:t>
      </w:r>
      <w:r>
        <w:rPr>
          <w:lang w:eastAsia="en-AU"/>
        </w:rPr>
        <w:t>for Regulati</w:t>
      </w:r>
      <w:r w:rsidR="00456161">
        <w:rPr>
          <w:lang w:eastAsia="en-AU"/>
        </w:rPr>
        <w:t>on</w:t>
      </w:r>
      <w:r>
        <w:rPr>
          <w:lang w:eastAsia="en-AU"/>
        </w:rPr>
        <w:t xml:space="preserve"> FCAS. </w:t>
      </w:r>
    </w:p>
    <w:p w14:paraId="6990263B" w14:textId="18AD65B7" w:rsidR="00D34986" w:rsidRDefault="00D34986" w:rsidP="00D34986">
      <w:pPr>
        <w:pStyle w:val="Lista"/>
        <w:rPr>
          <w:lang w:eastAsia="en-AU"/>
        </w:rPr>
      </w:pPr>
      <w:r>
        <w:rPr>
          <w:lang w:eastAsia="en-AU"/>
        </w:rPr>
        <w:t>The CMPF is estimated by summing the</w:t>
      </w:r>
      <w:r w:rsidR="00DB7CEF">
        <w:rPr>
          <w:lang w:eastAsia="en-AU"/>
        </w:rPr>
        <w:t xml:space="preserve"> MPF</w:t>
      </w:r>
      <w:r w:rsidR="00DB7CEF">
        <w:rPr>
          <w:vertAlign w:val="subscript"/>
          <w:lang w:eastAsia="en-AU"/>
        </w:rPr>
        <w:t>SSS</w:t>
      </w:r>
      <w:r w:rsidR="00DB7CEF">
        <w:rPr>
          <w:lang w:eastAsia="en-AU"/>
        </w:rPr>
        <w:t xml:space="preserve"> and MPF</w:t>
      </w:r>
      <w:r w:rsidR="00DB7CEF">
        <w:rPr>
          <w:vertAlign w:val="subscript"/>
          <w:lang w:eastAsia="en-AU"/>
        </w:rPr>
        <w:t>MNS</w:t>
      </w:r>
      <w:r w:rsidR="00DB7CEF">
        <w:rPr>
          <w:lang w:eastAsia="en-AU"/>
        </w:rPr>
        <w:t xml:space="preserve"> v</w:t>
      </w:r>
      <w:r>
        <w:rPr>
          <w:lang w:eastAsia="en-AU"/>
        </w:rPr>
        <w:t xml:space="preserve">alues for all </w:t>
      </w:r>
      <w:r>
        <w:rPr>
          <w:i/>
          <w:lang w:eastAsia="en-AU"/>
        </w:rPr>
        <w:t xml:space="preserve">Market Participants </w:t>
      </w:r>
      <w:r>
        <w:rPr>
          <w:lang w:eastAsia="en-AU"/>
        </w:rPr>
        <w:t xml:space="preserve">relevant to the affected </w:t>
      </w:r>
      <w:r>
        <w:rPr>
          <w:i/>
          <w:lang w:eastAsia="en-AU"/>
        </w:rPr>
        <w:t>region(s)</w:t>
      </w:r>
      <w:r>
        <w:rPr>
          <w:lang w:eastAsia="en-AU"/>
        </w:rPr>
        <w:t xml:space="preserve">. </w:t>
      </w:r>
    </w:p>
    <w:p w14:paraId="5A179D78" w14:textId="684B3FDE" w:rsidR="00D34986" w:rsidRDefault="00D34986" w:rsidP="00D34986">
      <w:pPr>
        <w:pStyle w:val="Lista"/>
        <w:rPr>
          <w:lang w:eastAsia="en-AU"/>
        </w:rPr>
      </w:pPr>
      <w:r>
        <w:rPr>
          <w:lang w:eastAsia="en-AU"/>
        </w:rPr>
        <w:t>The CRMPF is estimated by multiplying MPF</w:t>
      </w:r>
      <w:r w:rsidR="007065EA">
        <w:rPr>
          <w:vertAlign w:val="subscript"/>
          <w:lang w:eastAsia="en-AU"/>
        </w:rPr>
        <w:t>RES</w:t>
      </w:r>
      <w:r>
        <w:rPr>
          <w:lang w:eastAsia="en-AU"/>
        </w:rPr>
        <w:t xml:space="preserve"> by the proportion of total demand in the affected </w:t>
      </w:r>
      <w:r>
        <w:rPr>
          <w:i/>
          <w:lang w:eastAsia="en-AU"/>
        </w:rPr>
        <w:t xml:space="preserve">regions </w:t>
      </w:r>
      <w:r>
        <w:rPr>
          <w:lang w:eastAsia="en-AU"/>
        </w:rPr>
        <w:t xml:space="preserve">to total demand in the </w:t>
      </w:r>
      <w:r>
        <w:rPr>
          <w:i/>
          <w:lang w:eastAsia="en-AU"/>
        </w:rPr>
        <w:t>NEM</w:t>
      </w:r>
      <w:r>
        <w:rPr>
          <w:lang w:eastAsia="en-AU"/>
        </w:rPr>
        <w:t xml:space="preserve">. Total demand figures would be different for each </w:t>
      </w:r>
      <w:r>
        <w:rPr>
          <w:i/>
          <w:lang w:eastAsia="en-AU"/>
        </w:rPr>
        <w:t xml:space="preserve">dispatch interval </w:t>
      </w:r>
      <w:r>
        <w:rPr>
          <w:lang w:eastAsia="en-AU"/>
        </w:rPr>
        <w:t xml:space="preserve">within a </w:t>
      </w:r>
      <w:r>
        <w:rPr>
          <w:i/>
          <w:lang w:eastAsia="en-AU"/>
        </w:rPr>
        <w:t>trading interval</w:t>
      </w:r>
      <w:r>
        <w:rPr>
          <w:lang w:eastAsia="en-AU"/>
        </w:rPr>
        <w:t>.</w:t>
      </w:r>
      <w:r>
        <w:rPr>
          <w:i/>
          <w:lang w:eastAsia="en-AU"/>
        </w:rPr>
        <w:t xml:space="preserve">  </w:t>
      </w:r>
      <w:r>
        <w:rPr>
          <w:lang w:eastAsia="en-AU"/>
        </w:rPr>
        <w:t xml:space="preserve"> </w:t>
      </w:r>
      <w:r>
        <w:rPr>
          <w:i/>
          <w:lang w:eastAsia="en-AU"/>
        </w:rPr>
        <w:t xml:space="preserve"> </w:t>
      </w:r>
      <w:r>
        <w:rPr>
          <w:lang w:eastAsia="en-AU"/>
        </w:rPr>
        <w:t xml:space="preserve">  </w:t>
      </w:r>
    </w:p>
    <w:p w14:paraId="76A719F5" w14:textId="0D0BAC8B" w:rsidR="00B3700C" w:rsidRPr="00B3700C" w:rsidRDefault="00D34986" w:rsidP="00B3700C">
      <w:pPr>
        <w:pStyle w:val="Lista"/>
        <w:rPr>
          <w:lang w:eastAsia="en-AU"/>
        </w:rPr>
      </w:pPr>
      <w:r>
        <w:rPr>
          <w:i/>
          <w:lang w:eastAsia="en-AU"/>
        </w:rPr>
        <w:t xml:space="preserve">Market Participants </w:t>
      </w:r>
      <w:r>
        <w:rPr>
          <w:lang w:eastAsia="en-AU"/>
        </w:rPr>
        <w:t>can use their</w:t>
      </w:r>
      <w:r w:rsidR="00DB7CEF">
        <w:rPr>
          <w:lang w:eastAsia="en-AU"/>
        </w:rPr>
        <w:t xml:space="preserve"> MPF</w:t>
      </w:r>
      <w:r w:rsidR="00DB7CEF">
        <w:rPr>
          <w:vertAlign w:val="subscript"/>
          <w:lang w:eastAsia="en-AU"/>
        </w:rPr>
        <w:t>SSS</w:t>
      </w:r>
      <w:r w:rsidR="00DB7CEF">
        <w:rPr>
          <w:lang w:eastAsia="en-AU"/>
        </w:rPr>
        <w:t xml:space="preserve"> or MPF</w:t>
      </w:r>
      <w:r w:rsidR="00DB7CEF">
        <w:rPr>
          <w:vertAlign w:val="subscript"/>
          <w:lang w:eastAsia="en-AU"/>
        </w:rPr>
        <w:t>MNS</w:t>
      </w:r>
      <w:r w:rsidR="00DB7CEF">
        <w:rPr>
          <w:lang w:eastAsia="en-AU"/>
        </w:rPr>
        <w:t xml:space="preserve"> </w:t>
      </w:r>
      <w:r>
        <w:rPr>
          <w:lang w:eastAsia="en-AU"/>
        </w:rPr>
        <w:t xml:space="preserve">or expected total demand (as applicable) to estimate their contribution to the cost of each </w:t>
      </w:r>
      <w:r>
        <w:rPr>
          <w:i/>
          <w:lang w:eastAsia="en-AU"/>
        </w:rPr>
        <w:t>local market ancillary service</w:t>
      </w:r>
      <w:r w:rsidR="00456161">
        <w:rPr>
          <w:i/>
          <w:lang w:eastAsia="en-AU"/>
        </w:rPr>
        <w:t xml:space="preserve"> requirement</w:t>
      </w:r>
      <w:r>
        <w:rPr>
          <w:lang w:eastAsia="en-AU"/>
        </w:rPr>
        <w:t xml:space="preserve">, but actual contributions may vary materially from estimated values. </w:t>
      </w:r>
    </w:p>
    <w:p w14:paraId="00DDE6E9" w14:textId="1C9DCE5A" w:rsidR="00B3700C" w:rsidRDefault="00B3700C" w:rsidP="00B3700C">
      <w:pPr>
        <w:pStyle w:val="ResetPara"/>
      </w:pPr>
    </w:p>
    <w:p w14:paraId="1F17C425" w14:textId="248B7F7B" w:rsidR="00B3700C" w:rsidRDefault="00E63338" w:rsidP="00B3700C">
      <w:pPr>
        <w:pStyle w:val="Heading1"/>
      </w:pPr>
      <w:bookmarkStart w:id="85" w:name="_Toc508896726"/>
      <w:r>
        <w:t xml:space="preserve">Published </w:t>
      </w:r>
      <w:r w:rsidR="00D92EB4">
        <w:t>DATA</w:t>
      </w:r>
      <w:bookmarkEnd w:id="85"/>
      <w:r>
        <w:t xml:space="preserve"> </w:t>
      </w:r>
    </w:p>
    <w:p w14:paraId="214EA937" w14:textId="77777777" w:rsidR="00E63338" w:rsidRPr="00E63338" w:rsidRDefault="00E63338" w:rsidP="00E63338">
      <w:pPr>
        <w:pStyle w:val="ResetPara"/>
      </w:pPr>
    </w:p>
    <w:p w14:paraId="49278B51" w14:textId="76D96B0E" w:rsidR="00D92EB4" w:rsidRDefault="00D92EB4" w:rsidP="00D92EB4">
      <w:pPr>
        <w:pStyle w:val="BodyText"/>
        <w:ind w:left="709"/>
        <w:rPr>
          <w:szCs w:val="20"/>
        </w:rPr>
      </w:pPr>
      <w:r>
        <w:rPr>
          <w:szCs w:val="20"/>
        </w:rPr>
        <w:t>AEMO publishes the following datasets relevant to the determination of Contribution Factors:</w:t>
      </w:r>
    </w:p>
    <w:p w14:paraId="0DECF3CC" w14:textId="787A6387" w:rsidR="00D92EB4" w:rsidRDefault="000C174F" w:rsidP="00D92EB4">
      <w:pPr>
        <w:pStyle w:val="Lista"/>
      </w:pPr>
      <w:r>
        <w:t xml:space="preserve">indicative </w:t>
      </w:r>
      <w:r w:rsidR="00D92EB4">
        <w:t>FI</w:t>
      </w:r>
      <w:r w:rsidR="007065EA">
        <w:t xml:space="preserve"> values under clause </w:t>
      </w:r>
      <w:r w:rsidR="007065EA">
        <w:fldChar w:fldCharType="begin"/>
      </w:r>
      <w:r w:rsidR="007065EA">
        <w:instrText xml:space="preserve"> REF _Ref508805287 \r \h </w:instrText>
      </w:r>
      <w:r w:rsidR="007065EA">
        <w:fldChar w:fldCharType="separate"/>
      </w:r>
      <w:r w:rsidR="003E2BF7">
        <w:t>4.2.1</w:t>
      </w:r>
      <w:r w:rsidR="007065EA">
        <w:fldChar w:fldCharType="end"/>
      </w:r>
      <w:r w:rsidR="00895496">
        <w:t xml:space="preserve"> close to real time</w:t>
      </w:r>
      <w:r w:rsidR="007065EA">
        <w:t>;</w:t>
      </w:r>
    </w:p>
    <w:p w14:paraId="04F025D8" w14:textId="77777777" w:rsidR="00895496" w:rsidRDefault="00895496" w:rsidP="00D92EB4">
      <w:pPr>
        <w:pStyle w:val="Lista"/>
      </w:pPr>
      <w:r>
        <w:t>following the analysis period:</w:t>
      </w:r>
    </w:p>
    <w:p w14:paraId="2710249B" w14:textId="046B89DA" w:rsidR="007065EA" w:rsidRDefault="007065EA" w:rsidP="00895496">
      <w:pPr>
        <w:pStyle w:val="Listi"/>
      </w:pPr>
      <w:r>
        <w:t xml:space="preserve">the values of </w:t>
      </w:r>
      <w:r>
        <w:rPr>
          <w:lang w:eastAsia="en-AU"/>
        </w:rPr>
        <w:t>MPF</w:t>
      </w:r>
      <w:r>
        <w:rPr>
          <w:vertAlign w:val="subscript"/>
          <w:lang w:eastAsia="en-AU"/>
        </w:rPr>
        <w:t>SSS</w:t>
      </w:r>
      <w:r>
        <w:rPr>
          <w:lang w:eastAsia="en-AU"/>
        </w:rPr>
        <w:t xml:space="preserve"> and MPF</w:t>
      </w:r>
      <w:r>
        <w:rPr>
          <w:vertAlign w:val="subscript"/>
          <w:lang w:eastAsia="en-AU"/>
        </w:rPr>
        <w:t xml:space="preserve">MNS </w:t>
      </w:r>
      <w:r>
        <w:rPr>
          <w:lang w:eastAsia="en-AU"/>
        </w:rPr>
        <w:t xml:space="preserve">for each applicable </w:t>
      </w:r>
      <w:r>
        <w:rPr>
          <w:i/>
          <w:lang w:eastAsia="en-AU"/>
        </w:rPr>
        <w:t xml:space="preserve">Market Participant </w:t>
      </w:r>
      <w:r>
        <w:rPr>
          <w:lang w:eastAsia="en-AU"/>
        </w:rPr>
        <w:t>portfolio, and the value of MPF</w:t>
      </w:r>
      <w:r>
        <w:rPr>
          <w:vertAlign w:val="subscript"/>
          <w:lang w:eastAsia="en-AU"/>
        </w:rPr>
        <w:t>RES</w:t>
      </w:r>
      <w:r>
        <w:rPr>
          <w:lang w:eastAsia="en-AU"/>
        </w:rPr>
        <w:t>, for each 28-day application period;</w:t>
      </w:r>
    </w:p>
    <w:p w14:paraId="0FE4B03F" w14:textId="21985FCB" w:rsidR="007065EA" w:rsidRPr="00CD5358" w:rsidRDefault="007065EA" w:rsidP="00895496">
      <w:pPr>
        <w:pStyle w:val="Listi"/>
      </w:pPr>
      <w:r w:rsidRPr="00CD5358">
        <w:rPr>
          <w:lang w:eastAsia="en-AU"/>
        </w:rPr>
        <w:t>raw data for</w:t>
      </w:r>
      <w:r w:rsidR="00895496" w:rsidRPr="00CD5358">
        <w:rPr>
          <w:lang w:eastAsia="en-AU"/>
        </w:rPr>
        <w:t xml:space="preserve"> appropriately metered </w:t>
      </w:r>
      <w:r w:rsidR="00895496" w:rsidRPr="00CD5358">
        <w:rPr>
          <w:i/>
          <w:lang w:eastAsia="en-AU"/>
        </w:rPr>
        <w:t xml:space="preserve">market generating units </w:t>
      </w:r>
      <w:r w:rsidR="00895496" w:rsidRPr="00CD5358">
        <w:rPr>
          <w:lang w:eastAsia="en-AU"/>
        </w:rPr>
        <w:t xml:space="preserve">and </w:t>
      </w:r>
      <w:r w:rsidR="00895496" w:rsidRPr="00CD5358">
        <w:rPr>
          <w:i/>
          <w:lang w:eastAsia="en-AU"/>
        </w:rPr>
        <w:t xml:space="preserve">market loads </w:t>
      </w:r>
      <w:r w:rsidR="00895496" w:rsidRPr="00CD5358">
        <w:rPr>
          <w:lang w:eastAsia="en-AU"/>
        </w:rPr>
        <w:t>over</w:t>
      </w:r>
      <w:r w:rsidRPr="00CD5358">
        <w:rPr>
          <w:lang w:eastAsia="en-AU"/>
        </w:rPr>
        <w:t xml:space="preserve"> the </w:t>
      </w:r>
      <w:r w:rsidR="00895496" w:rsidRPr="00CD5358">
        <w:rPr>
          <w:lang w:eastAsia="en-AU"/>
        </w:rPr>
        <w:t>28-day period</w:t>
      </w:r>
      <w:r w:rsidR="00CD5358" w:rsidRPr="00CD5358">
        <w:rPr>
          <w:lang w:eastAsia="en-AU"/>
        </w:rPr>
        <w:t xml:space="preserve">; </w:t>
      </w:r>
      <w:r w:rsidR="00CD5358">
        <w:rPr>
          <w:lang w:eastAsia="en-AU"/>
        </w:rPr>
        <w:t>and</w:t>
      </w:r>
    </w:p>
    <w:p w14:paraId="47F76E73" w14:textId="1F92F45F" w:rsidR="00895496" w:rsidRDefault="00895496" w:rsidP="00895496">
      <w:pPr>
        <w:pStyle w:val="Listi"/>
      </w:pPr>
      <w:r>
        <w:rPr>
          <w:szCs w:val="20"/>
        </w:rPr>
        <w:t>a</w:t>
      </w:r>
      <w:r w:rsidRPr="00DA7CBF">
        <w:rPr>
          <w:szCs w:val="20"/>
        </w:rPr>
        <w:t xml:space="preserve"> list of </w:t>
      </w:r>
      <w:r>
        <w:rPr>
          <w:szCs w:val="20"/>
        </w:rPr>
        <w:t>DIs</w:t>
      </w:r>
      <w:r w:rsidRPr="00DA7CBF">
        <w:rPr>
          <w:szCs w:val="20"/>
        </w:rPr>
        <w:t xml:space="preserve"> that have been ex</w:t>
      </w:r>
      <w:r>
        <w:rPr>
          <w:szCs w:val="20"/>
        </w:rPr>
        <w:t>cluded from the calculation of C</w:t>
      </w:r>
      <w:r w:rsidRPr="00DA7CBF">
        <w:rPr>
          <w:szCs w:val="20"/>
        </w:rPr>
        <w:t xml:space="preserve">ontribution </w:t>
      </w:r>
      <w:r>
        <w:rPr>
          <w:szCs w:val="20"/>
        </w:rPr>
        <w:t>F</w:t>
      </w:r>
      <w:r w:rsidRPr="00DA7CBF">
        <w:rPr>
          <w:szCs w:val="20"/>
        </w:rPr>
        <w:t xml:space="preserve">actors due to </w:t>
      </w:r>
      <w:r w:rsidRPr="00895496">
        <w:rPr>
          <w:i/>
          <w:szCs w:val="20"/>
        </w:rPr>
        <w:t>contingency events</w:t>
      </w:r>
      <w:r w:rsidRPr="00DA7CBF">
        <w:rPr>
          <w:szCs w:val="20"/>
        </w:rPr>
        <w:t xml:space="preserve"> or </w:t>
      </w:r>
      <w:r>
        <w:rPr>
          <w:szCs w:val="20"/>
        </w:rPr>
        <w:t xml:space="preserve">a significant proportion of </w:t>
      </w:r>
      <w:r w:rsidRPr="00DA7CBF">
        <w:rPr>
          <w:szCs w:val="20"/>
        </w:rPr>
        <w:t xml:space="preserve">suspect SCADA data. </w:t>
      </w:r>
    </w:p>
    <w:p w14:paraId="31CE6CD7" w14:textId="10FE26CD" w:rsidR="00E63338" w:rsidRPr="00895496" w:rsidRDefault="00E63338" w:rsidP="00895496">
      <w:pPr>
        <w:pStyle w:val="Lista"/>
        <w:numPr>
          <w:ilvl w:val="0"/>
          <w:numId w:val="0"/>
        </w:numPr>
        <w:spacing w:line="259" w:lineRule="auto"/>
        <w:ind w:left="720"/>
        <w:rPr>
          <w:szCs w:val="20"/>
        </w:rPr>
      </w:pPr>
    </w:p>
    <w:p w14:paraId="74A49830" w14:textId="77777777" w:rsidR="00A7158E" w:rsidRPr="00A7158E" w:rsidRDefault="00A7158E" w:rsidP="00D83CFF">
      <w:pPr>
        <w:pStyle w:val="Lista"/>
        <w:numPr>
          <w:ilvl w:val="0"/>
          <w:numId w:val="0"/>
        </w:numPr>
        <w:ind w:left="1276" w:hanging="567"/>
      </w:pPr>
    </w:p>
    <w:sectPr w:rsidR="00A7158E" w:rsidRPr="00A7158E" w:rsidSect="00596E73">
      <w:headerReference w:type="even" r:id="rId33"/>
      <w:headerReference w:type="default" r:id="rId34"/>
      <w:footerReference w:type="default" r:id="rId35"/>
      <w:headerReference w:type="first" r:id="rId36"/>
      <w:pgSz w:w="11906" w:h="16838" w:code="9"/>
      <w:pgMar w:top="1871" w:right="1361" w:bottom="1309" w:left="1361" w:header="102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9E9AC" w14:textId="77777777" w:rsidR="00D24D39" w:rsidRDefault="00D24D39" w:rsidP="00710277">
      <w:pPr>
        <w:spacing w:after="0" w:line="240" w:lineRule="auto"/>
      </w:pPr>
      <w:r>
        <w:separator/>
      </w:r>
    </w:p>
  </w:endnote>
  <w:endnote w:type="continuationSeparator" w:id="0">
    <w:p w14:paraId="3318F041" w14:textId="77777777" w:rsidR="00D24D39" w:rsidRDefault="00D24D39"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Tw Cen MT">
    <w:altName w:val="Tw Cen MT"/>
    <w:charset w:val="00"/>
    <w:family w:val="swiss"/>
    <w:pitch w:val="variable"/>
    <w:sig w:usb0="00000003" w:usb1="00000000" w:usb2="00000000" w:usb3="00000000" w:csb0="00000003" w:csb1="00000000"/>
  </w:font>
  <w:font w:name="Cambria Math">
    <w:panose1 w:val="02040503050406030204"/>
    <w:charset w:val="0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CE7E" w14:textId="77777777" w:rsidR="00D24D39" w:rsidRDefault="00D24D39" w:rsidP="00435A2E">
    <w:pPr>
      <w:pStyle w:val="ImprintFooter1"/>
    </w:pPr>
    <w:r>
      <w:drawing>
        <wp:anchor distT="0" distB="0" distL="114300" distR="114300" simplePos="0" relativeHeight="251723264" behindDoc="1" locked="0" layoutInCell="1" allowOverlap="1" wp14:anchorId="4E00965A" wp14:editId="0794C8B3">
          <wp:simplePos x="0" y="0"/>
          <wp:positionH relativeFrom="page">
            <wp:posOffset>688619</wp:posOffset>
          </wp:positionH>
          <wp:positionV relativeFrom="page">
            <wp:posOffset>8967470</wp:posOffset>
          </wp:positionV>
          <wp:extent cx="6837045" cy="947419"/>
          <wp:effectExtent l="0" t="0" r="1905" b="5715"/>
          <wp:wrapNone/>
          <wp:docPr id="26" name="Picture 2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947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58F85" w14:textId="77777777" w:rsidR="00D24D39" w:rsidRDefault="00D24D39" w:rsidP="00435A2E">
    <w:pPr>
      <w:pStyle w:val="ImprintFooter1"/>
    </w:pPr>
  </w:p>
  <w:p w14:paraId="467F8954" w14:textId="50DAD0DA" w:rsidR="00D24D39" w:rsidRDefault="00D24D39" w:rsidP="00435A2E">
    <w:pPr>
      <w:pStyle w:val="ImprintFooter1"/>
    </w:pPr>
    <w:r>
      <w:drawing>
        <wp:anchor distT="0" distB="0" distL="114300" distR="114300" simplePos="0" relativeHeight="251722240" behindDoc="1" locked="1" layoutInCell="1" allowOverlap="1" wp14:anchorId="71E431DF" wp14:editId="5A5A36B7">
          <wp:simplePos x="0" y="0"/>
          <wp:positionH relativeFrom="page">
            <wp:posOffset>998855</wp:posOffset>
          </wp:positionH>
          <wp:positionV relativeFrom="page">
            <wp:posOffset>11193780</wp:posOffset>
          </wp:positionV>
          <wp:extent cx="6174105" cy="323850"/>
          <wp:effectExtent l="0" t="0" r="0" b="0"/>
          <wp:wrapNone/>
          <wp:docPr id="27" name="Picture 27"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21216" behindDoc="1" locked="1" layoutInCell="1" allowOverlap="1" wp14:anchorId="51F1EA50" wp14:editId="48B6E51D">
          <wp:simplePos x="0" y="0"/>
          <wp:positionH relativeFrom="page">
            <wp:posOffset>846455</wp:posOffset>
          </wp:positionH>
          <wp:positionV relativeFrom="page">
            <wp:posOffset>11041380</wp:posOffset>
          </wp:positionV>
          <wp:extent cx="6174105" cy="323850"/>
          <wp:effectExtent l="0" t="0" r="0" b="0"/>
          <wp:wrapNone/>
          <wp:docPr id="28" name="Picture 28"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Limited    ABN 94 072 010 327</w:t>
    </w:r>
    <w:r>
      <w:tab/>
    </w:r>
    <w:hyperlink r:id="rId3" w:history="1">
      <w:r w:rsidRPr="008E6567">
        <w:t>www.aemo.com.au</w:t>
      </w:r>
    </w:hyperlink>
    <w:r>
      <w:t xml:space="preserve">    </w:t>
    </w:r>
    <w:hyperlink r:id="rId4" w:history="1">
      <w:r w:rsidRPr="008E6567">
        <w:t>info@aemo.com.au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8912" w14:textId="77777777" w:rsidR="00D24D39" w:rsidRDefault="00D24D39">
    <w:pPr>
      <w:pStyle w:val="Footer"/>
    </w:pPr>
    <w:r>
      <w:rPr>
        <w:noProof/>
        <w:sz w:val="20"/>
        <w:szCs w:val="20"/>
        <w:lang w:eastAsia="en-AU"/>
      </w:rPr>
      <w:drawing>
        <wp:anchor distT="0" distB="0" distL="114300" distR="114300" simplePos="0" relativeHeight="251677184" behindDoc="1" locked="0" layoutInCell="1" allowOverlap="1" wp14:anchorId="6C470514" wp14:editId="7B9AB09F">
          <wp:simplePos x="0" y="0"/>
          <wp:positionH relativeFrom="page">
            <wp:posOffset>140335</wp:posOffset>
          </wp:positionH>
          <wp:positionV relativeFrom="page">
            <wp:posOffset>9901555</wp:posOffset>
          </wp:positionV>
          <wp:extent cx="7286400" cy="655200"/>
          <wp:effectExtent l="0" t="0" r="0" b="0"/>
          <wp:wrapNone/>
          <wp:docPr id="448"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D24D39" w:rsidRPr="00734044" w14:paraId="5B4C720E" w14:textId="77777777" w:rsidTr="006B6119">
      <w:trPr>
        <w:trHeight w:hRule="exact" w:val="198"/>
      </w:trPr>
      <w:tc>
        <w:tcPr>
          <w:tcW w:w="3058" w:type="dxa"/>
        </w:tcPr>
        <w:p w14:paraId="6E3C32B3" w14:textId="35B020F5" w:rsidR="00D24D39" w:rsidRPr="00F32421" w:rsidRDefault="00D24D39" w:rsidP="00F32421">
          <w:pPr>
            <w:pStyle w:val="Footer"/>
            <w:tabs>
              <w:tab w:val="clear" w:pos="8239"/>
              <w:tab w:val="clear" w:pos="9185"/>
            </w:tabs>
          </w:pPr>
          <w:r w:rsidRPr="00CD5358">
            <w:rPr>
              <w:highlight w:val="yellow"/>
            </w:rPr>
            <w:t>Doc Ref:</w:t>
          </w:r>
          <w:r>
            <w:t xml:space="preserve"> </w:t>
          </w:r>
          <w:r>
            <w:fldChar w:fldCharType="begin"/>
          </w:r>
          <w:r>
            <w:instrText xml:space="preserve"> STYLEREF  DocRef  \* MERGEFORMAT </w:instrText>
          </w:r>
          <w:r>
            <w:rPr>
              <w:noProof/>
            </w:rPr>
            <w:fldChar w:fldCharType="end"/>
          </w:r>
        </w:p>
      </w:tc>
      <w:tc>
        <w:tcPr>
          <w:tcW w:w="3058" w:type="dxa"/>
        </w:tcPr>
        <w:p w14:paraId="1671E541" w14:textId="66831F9F" w:rsidR="00D24D39" w:rsidRPr="00F32421" w:rsidRDefault="00D24D39" w:rsidP="00F32421">
          <w:pPr>
            <w:pStyle w:val="Footer"/>
            <w:tabs>
              <w:tab w:val="clear" w:pos="8239"/>
              <w:tab w:val="clear" w:pos="9185"/>
            </w:tabs>
            <w:jc w:val="center"/>
          </w:pPr>
          <w:r w:rsidRPr="00CD5358">
            <w:rPr>
              <w:highlight w:val="yellow"/>
            </w:rPr>
            <w:fldChar w:fldCharType="begin"/>
          </w:r>
          <w:r w:rsidRPr="00CD5358">
            <w:rPr>
              <w:highlight w:val="yellow"/>
            </w:rPr>
            <w:instrText xml:space="preserve"> STYLEREF  EffectDate  \* MERGEFORMAT </w:instrText>
          </w:r>
          <w:r w:rsidRPr="00CD5358">
            <w:rPr>
              <w:highlight w:val="yellow"/>
            </w:rPr>
            <w:fldChar w:fldCharType="separate"/>
          </w:r>
          <w:r w:rsidR="00AF71FC">
            <w:rPr>
              <w:noProof/>
              <w:highlight w:val="yellow"/>
            </w:rPr>
            <w:t>dd month yyyy</w:t>
          </w:r>
          <w:r w:rsidRPr="00CD5358">
            <w:rPr>
              <w:noProof/>
              <w:highlight w:val="yellow"/>
            </w:rPr>
            <w:fldChar w:fldCharType="end"/>
          </w:r>
        </w:p>
      </w:tc>
      <w:tc>
        <w:tcPr>
          <w:tcW w:w="3058" w:type="dxa"/>
        </w:tcPr>
        <w:p w14:paraId="2A74BB91" w14:textId="5539D899" w:rsidR="00D24D39" w:rsidRPr="00734044" w:rsidRDefault="00D24D39"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AF71FC">
            <w:rPr>
              <w:noProof/>
            </w:rPr>
            <w:t>2</w:t>
          </w:r>
          <w:r w:rsidRPr="00F32421">
            <w:fldChar w:fldCharType="end"/>
          </w:r>
          <w:r>
            <w:t xml:space="preserve"> of </w:t>
          </w:r>
          <w:r w:rsidR="00AF71FC">
            <w:fldChar w:fldCharType="begin"/>
          </w:r>
          <w:r w:rsidR="00AF71FC">
            <w:instrText xml:space="preserve"> NUMPAGES   \* MERGEFORMAT </w:instrText>
          </w:r>
          <w:r w:rsidR="00AF71FC">
            <w:fldChar w:fldCharType="separate"/>
          </w:r>
          <w:r w:rsidR="00AF71FC">
            <w:rPr>
              <w:noProof/>
            </w:rPr>
            <w:t>24</w:t>
          </w:r>
          <w:r w:rsidR="00AF71FC">
            <w:rPr>
              <w:noProof/>
            </w:rPr>
            <w:fldChar w:fldCharType="end"/>
          </w:r>
        </w:p>
      </w:tc>
    </w:tr>
  </w:tbl>
  <w:p w14:paraId="1EC06EC3" w14:textId="77777777" w:rsidR="00D24D39" w:rsidRPr="00734044" w:rsidRDefault="00D24D39" w:rsidP="00F324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D04C" w14:textId="77777777" w:rsidR="00D24D39" w:rsidRDefault="00D24D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2"/>
      <w:gridCol w:w="3061"/>
      <w:gridCol w:w="3061"/>
    </w:tblGrid>
    <w:tr w:rsidR="00D24D39" w:rsidRPr="00734044" w14:paraId="6DA03B60" w14:textId="77777777" w:rsidTr="005537C0">
      <w:trPr>
        <w:trHeight w:hRule="exact" w:val="198"/>
      </w:trPr>
      <w:tc>
        <w:tcPr>
          <w:tcW w:w="3058" w:type="dxa"/>
          <w:vAlign w:val="bottom"/>
        </w:tcPr>
        <w:p w14:paraId="59C2E1B8" w14:textId="451CF90E" w:rsidR="00D24D39" w:rsidRPr="00F32421" w:rsidRDefault="00D24D39" w:rsidP="00F32421">
          <w:pPr>
            <w:pStyle w:val="Footer"/>
            <w:tabs>
              <w:tab w:val="clear" w:pos="8239"/>
              <w:tab w:val="clear" w:pos="9185"/>
            </w:tabs>
          </w:pPr>
          <w:r w:rsidRPr="00CD5358">
            <w:rPr>
              <w:highlight w:val="yellow"/>
            </w:rPr>
            <w:t>Doc Ref:</w:t>
          </w:r>
          <w:r>
            <w:t xml:space="preserve"> </w:t>
          </w:r>
          <w:r>
            <w:fldChar w:fldCharType="begin"/>
          </w:r>
          <w:r>
            <w:instrText xml:space="preserve"> STYLEREF  DocRef  \* MERGEFORMAT </w:instrText>
          </w:r>
          <w:r>
            <w:rPr>
              <w:noProof/>
            </w:rPr>
            <w:fldChar w:fldCharType="end"/>
          </w:r>
        </w:p>
      </w:tc>
      <w:tc>
        <w:tcPr>
          <w:tcW w:w="3058" w:type="dxa"/>
          <w:vAlign w:val="bottom"/>
        </w:tcPr>
        <w:p w14:paraId="245A3C1E" w14:textId="16AB9A6F" w:rsidR="00D24D39" w:rsidRPr="00F32421" w:rsidRDefault="00D24D39" w:rsidP="00F32421">
          <w:pPr>
            <w:pStyle w:val="Footer"/>
            <w:tabs>
              <w:tab w:val="clear" w:pos="8239"/>
              <w:tab w:val="clear" w:pos="9185"/>
            </w:tabs>
            <w:jc w:val="center"/>
          </w:pPr>
          <w:r w:rsidRPr="00CD5358">
            <w:rPr>
              <w:highlight w:val="yellow"/>
            </w:rPr>
            <w:fldChar w:fldCharType="begin"/>
          </w:r>
          <w:r w:rsidRPr="00CD5358">
            <w:rPr>
              <w:highlight w:val="yellow"/>
            </w:rPr>
            <w:instrText xml:space="preserve"> STYLEREF  EffectDate  \* MERGEFORMAT </w:instrText>
          </w:r>
          <w:r w:rsidRPr="00CD5358">
            <w:rPr>
              <w:highlight w:val="yellow"/>
            </w:rPr>
            <w:fldChar w:fldCharType="separate"/>
          </w:r>
          <w:r w:rsidR="00AF71FC">
            <w:rPr>
              <w:noProof/>
              <w:highlight w:val="yellow"/>
            </w:rPr>
            <w:t>dd month yyyy</w:t>
          </w:r>
          <w:r w:rsidRPr="00CD5358">
            <w:rPr>
              <w:noProof/>
              <w:highlight w:val="yellow"/>
            </w:rPr>
            <w:fldChar w:fldCharType="end"/>
          </w:r>
        </w:p>
      </w:tc>
      <w:tc>
        <w:tcPr>
          <w:tcW w:w="3058" w:type="dxa"/>
          <w:vAlign w:val="bottom"/>
        </w:tcPr>
        <w:p w14:paraId="34C1106F" w14:textId="316605D5" w:rsidR="00D24D39" w:rsidRPr="00734044" w:rsidRDefault="00D24D39"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AF71FC">
            <w:rPr>
              <w:noProof/>
            </w:rPr>
            <w:t>3</w:t>
          </w:r>
          <w:r w:rsidRPr="00F32421">
            <w:fldChar w:fldCharType="end"/>
          </w:r>
          <w:r>
            <w:t xml:space="preserve"> of </w:t>
          </w:r>
          <w:r w:rsidR="00AF71FC">
            <w:fldChar w:fldCharType="begin"/>
          </w:r>
          <w:r w:rsidR="00AF71FC">
            <w:instrText xml:space="preserve"> NUMPAGES   \* MERGEFORMAT </w:instrText>
          </w:r>
          <w:r w:rsidR="00AF71FC">
            <w:fldChar w:fldCharType="separate"/>
          </w:r>
          <w:r w:rsidR="00AF71FC">
            <w:rPr>
              <w:noProof/>
            </w:rPr>
            <w:t>24</w:t>
          </w:r>
          <w:r w:rsidR="00AF71FC">
            <w:rPr>
              <w:noProof/>
            </w:rPr>
            <w:fldChar w:fldCharType="end"/>
          </w:r>
        </w:p>
      </w:tc>
    </w:tr>
  </w:tbl>
  <w:p w14:paraId="3712D5E6" w14:textId="77777777" w:rsidR="00D24D39" w:rsidRPr="00734044" w:rsidRDefault="00D24D39" w:rsidP="00F324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D24D39" w:rsidRPr="00734044" w14:paraId="07AF999E" w14:textId="77777777" w:rsidTr="00C43A06">
      <w:trPr>
        <w:trHeight w:hRule="exact" w:val="198"/>
      </w:trPr>
      <w:tc>
        <w:tcPr>
          <w:tcW w:w="3058" w:type="dxa"/>
        </w:tcPr>
        <w:p w14:paraId="21DC9A94" w14:textId="78F6CE60" w:rsidR="00D24D39" w:rsidRPr="00F32421" w:rsidRDefault="00D24D39" w:rsidP="006B6119">
          <w:pPr>
            <w:pStyle w:val="Footer"/>
            <w:tabs>
              <w:tab w:val="clear" w:pos="8239"/>
              <w:tab w:val="clear" w:pos="9185"/>
            </w:tabs>
          </w:pPr>
          <w:r w:rsidRPr="00CD5358">
            <w:rPr>
              <w:highlight w:val="yellow"/>
            </w:rPr>
            <w:t>Doc Ref:</w:t>
          </w:r>
          <w:r>
            <w:t xml:space="preserve"> </w:t>
          </w:r>
          <w:r>
            <w:fldChar w:fldCharType="begin"/>
          </w:r>
          <w:r>
            <w:instrText xml:space="preserve"> STYLEREF  DocRef  \* MERGEFORMAT </w:instrText>
          </w:r>
          <w:r>
            <w:rPr>
              <w:noProof/>
            </w:rPr>
            <w:fldChar w:fldCharType="end"/>
          </w:r>
        </w:p>
      </w:tc>
      <w:tc>
        <w:tcPr>
          <w:tcW w:w="3058" w:type="dxa"/>
        </w:tcPr>
        <w:p w14:paraId="2722D125" w14:textId="6502F7E9" w:rsidR="00D24D39" w:rsidRPr="00F32421" w:rsidRDefault="00D24D39" w:rsidP="006B6119">
          <w:pPr>
            <w:pStyle w:val="Footer"/>
            <w:tabs>
              <w:tab w:val="clear" w:pos="8239"/>
              <w:tab w:val="clear" w:pos="9185"/>
            </w:tabs>
            <w:jc w:val="center"/>
          </w:pPr>
          <w:r w:rsidRPr="00CD5358">
            <w:rPr>
              <w:highlight w:val="yellow"/>
            </w:rPr>
            <w:fldChar w:fldCharType="begin"/>
          </w:r>
          <w:r w:rsidRPr="00CD5358">
            <w:rPr>
              <w:highlight w:val="yellow"/>
            </w:rPr>
            <w:instrText xml:space="preserve"> STYLEREF  EffectDate  \* MERGEFORMAT </w:instrText>
          </w:r>
          <w:r w:rsidRPr="00CD5358">
            <w:rPr>
              <w:highlight w:val="yellow"/>
            </w:rPr>
            <w:fldChar w:fldCharType="separate"/>
          </w:r>
          <w:r w:rsidR="00AF71FC">
            <w:rPr>
              <w:noProof/>
              <w:highlight w:val="yellow"/>
            </w:rPr>
            <w:t>dd month yyyy</w:t>
          </w:r>
          <w:r w:rsidRPr="00CD5358">
            <w:rPr>
              <w:noProof/>
              <w:highlight w:val="yellow"/>
            </w:rPr>
            <w:fldChar w:fldCharType="end"/>
          </w:r>
        </w:p>
      </w:tc>
      <w:tc>
        <w:tcPr>
          <w:tcW w:w="3058" w:type="dxa"/>
        </w:tcPr>
        <w:p w14:paraId="7DBE46D0" w14:textId="0C052887" w:rsidR="00D24D39" w:rsidRPr="00734044" w:rsidRDefault="00D24D39"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AF71FC">
            <w:rPr>
              <w:noProof/>
            </w:rPr>
            <w:t>22</w:t>
          </w:r>
          <w:r w:rsidRPr="00F32421">
            <w:fldChar w:fldCharType="end"/>
          </w:r>
          <w:r>
            <w:t xml:space="preserve"> of </w:t>
          </w:r>
          <w:r w:rsidR="00AF71FC">
            <w:fldChar w:fldCharType="begin"/>
          </w:r>
          <w:r w:rsidR="00AF71FC">
            <w:instrText xml:space="preserve"> NUMPAGES   \* MERGEFORMAT </w:instrText>
          </w:r>
          <w:r w:rsidR="00AF71FC">
            <w:fldChar w:fldCharType="separate"/>
          </w:r>
          <w:r w:rsidR="00AF71FC">
            <w:rPr>
              <w:noProof/>
            </w:rPr>
            <w:t>24</w:t>
          </w:r>
          <w:r w:rsidR="00AF71FC">
            <w:rPr>
              <w:noProof/>
            </w:rPr>
            <w:fldChar w:fldCharType="end"/>
          </w:r>
        </w:p>
      </w:tc>
    </w:tr>
  </w:tbl>
  <w:p w14:paraId="76A50635" w14:textId="77777777" w:rsidR="00D24D39" w:rsidRPr="00734044" w:rsidRDefault="00D24D39" w:rsidP="006B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FAFCD" w14:textId="77777777" w:rsidR="00D24D39" w:rsidRPr="005032D6" w:rsidRDefault="00D24D39" w:rsidP="00710277">
      <w:pPr>
        <w:spacing w:after="0" w:line="240" w:lineRule="auto"/>
      </w:pPr>
      <w:r w:rsidRPr="005032D6">
        <w:separator/>
      </w:r>
    </w:p>
  </w:footnote>
  <w:footnote w:type="continuationSeparator" w:id="0">
    <w:p w14:paraId="21CC18A1" w14:textId="77777777" w:rsidR="00D24D39" w:rsidRDefault="00D24D39" w:rsidP="00710277">
      <w:pPr>
        <w:spacing w:after="0" w:line="240" w:lineRule="auto"/>
      </w:pPr>
      <w:r>
        <w:continuationSeparator/>
      </w:r>
    </w:p>
  </w:footnote>
  <w:footnote w:id="1">
    <w:p w14:paraId="7AAF5CD8" w14:textId="2A0A7CB5" w:rsidR="00D24D39" w:rsidRDefault="00D24D39" w:rsidP="00DD59E4">
      <w:pPr>
        <w:pStyle w:val="FootnoteText"/>
      </w:pPr>
      <w:r>
        <w:rPr>
          <w:rStyle w:val="FootnoteReference"/>
        </w:rPr>
        <w:footnoteRef/>
      </w:r>
      <w:r>
        <w:t xml:space="preserve"> T</w:t>
      </w:r>
      <w:r w:rsidRPr="00ED7295">
        <w:t>his param</w:t>
      </w:r>
      <w:r>
        <w:t xml:space="preserve">eter is labelled in AEMO’s AGC </w:t>
      </w:r>
      <w:r w:rsidRPr="00ED7295">
        <w:t>as ‘Regulation requirement’</w:t>
      </w:r>
    </w:p>
  </w:footnote>
  <w:footnote w:id="2">
    <w:p w14:paraId="2084A6D0" w14:textId="23AA6E90" w:rsidR="00D24D39" w:rsidRPr="003028A0" w:rsidRDefault="00D24D39">
      <w:pPr>
        <w:pStyle w:val="FootnoteText"/>
        <w:rPr>
          <w:u w:val="single"/>
        </w:rPr>
      </w:pPr>
      <w:r>
        <w:rPr>
          <w:rStyle w:val="FootnoteReference"/>
        </w:rPr>
        <w:footnoteRef/>
      </w:r>
      <w:r>
        <w:t xml:space="preserve"> An example is a battery that is classified as both a </w:t>
      </w:r>
      <w:r>
        <w:rPr>
          <w:i/>
        </w:rPr>
        <w:t xml:space="preserve">scheduled generating unit </w:t>
      </w:r>
      <w:r>
        <w:t xml:space="preserve">and a </w:t>
      </w:r>
      <w:r>
        <w:rPr>
          <w:i/>
        </w:rPr>
        <w:t xml:space="preserve">scheduled load </w:t>
      </w:r>
      <w:r>
        <w:t>depending on its mode of operation.</w:t>
      </w:r>
    </w:p>
  </w:footnote>
  <w:footnote w:id="3">
    <w:p w14:paraId="66D82C29" w14:textId="77777777" w:rsidR="00D24D39" w:rsidRPr="003E456F" w:rsidRDefault="00D24D39" w:rsidP="00CA60DB">
      <w:pPr>
        <w:pStyle w:val="FootnoteText"/>
      </w:pPr>
      <w:r w:rsidRPr="003E456F">
        <w:rPr>
          <w:rStyle w:val="FootnoteReference"/>
        </w:rPr>
        <w:footnoteRef/>
      </w:r>
      <w:r w:rsidRPr="003E456F">
        <w:t xml:space="preserve"> The ADE is an allowance made for expected </w:t>
      </w:r>
      <w:r w:rsidRPr="003E456F">
        <w:rPr>
          <w:i/>
        </w:rPr>
        <w:t>generating unit</w:t>
      </w:r>
      <w:r w:rsidRPr="003E456F">
        <w:t xml:space="preserve"> non-conformance based on the current </w:t>
      </w:r>
      <w:r w:rsidRPr="003E456F">
        <w:rPr>
          <w:i/>
        </w:rPr>
        <w:t>generating unit</w:t>
      </w:r>
      <w:r w:rsidRPr="003E456F">
        <w:t xml:space="preserve"> non-conformance.  For assessment purposes, it is sufficient to assess </w:t>
      </w:r>
      <w:r w:rsidRPr="003E456F">
        <w:rPr>
          <w:i/>
        </w:rPr>
        <w:t>generating unit</w:t>
      </w:r>
      <w:r w:rsidRPr="003E456F">
        <w:t xml:space="preserve">s against their </w:t>
      </w:r>
      <w:r w:rsidRPr="003E456F">
        <w:rPr>
          <w:i/>
        </w:rPr>
        <w:t>scheduled dispatch</w:t>
      </w:r>
      <w:r w:rsidRPr="003E456F">
        <w:t xml:space="preserve"> alone, without the ADE adjustment.</w:t>
      </w:r>
      <w:r>
        <w:t xml:space="preserve"> It is also not appropriate to include</w:t>
      </w:r>
      <w:r w:rsidRPr="003E456F">
        <w:t xml:space="preserve"> the ADE adjustment w</w:t>
      </w:r>
      <w:r>
        <w:t>ith the demand forecast error.</w:t>
      </w:r>
    </w:p>
  </w:footnote>
  <w:footnote w:id="4">
    <w:p w14:paraId="276DCBDC" w14:textId="3460895A" w:rsidR="00D24D39" w:rsidRDefault="00D24D39">
      <w:pPr>
        <w:pStyle w:val="FootnoteText"/>
      </w:pPr>
      <w:r>
        <w:rPr>
          <w:rStyle w:val="FootnoteReference"/>
        </w:rPr>
        <w:footnoteRef/>
      </w:r>
      <w:r>
        <w:t xml:space="preserve"> To be determined by AEMO from time to time based on operational experience. As at 1 July 2018, AEMO considers the exclusion of 50% or more of the FI values in a DI to be a significant proportion.</w:t>
      </w:r>
    </w:p>
  </w:footnote>
  <w:footnote w:id="5">
    <w:p w14:paraId="19B28D72" w14:textId="77777777" w:rsidR="00D24D39" w:rsidRDefault="00D24D39" w:rsidP="00CD74B7">
      <w:pPr>
        <w:pStyle w:val="FootnoteText"/>
        <w:jc w:val="both"/>
      </w:pPr>
      <w:r>
        <w:rPr>
          <w:rStyle w:val="FootnoteReference"/>
        </w:rPr>
        <w:footnoteRef/>
      </w:r>
      <w:r>
        <w:t xml:space="preserve"> In order to obtain a true estimate of the base </w:t>
      </w:r>
      <w:r w:rsidRPr="005E636D">
        <w:rPr>
          <w:i/>
        </w:rPr>
        <w:t>region</w:t>
      </w:r>
      <w:r>
        <w:t xml:space="preserve"> demand the ADE is removed.  This is because ADE is an offset added to the total demand to account for non-conformance of </w:t>
      </w:r>
      <w:r w:rsidRPr="005E636D">
        <w:rPr>
          <w:i/>
        </w:rPr>
        <w:t>generating units</w:t>
      </w:r>
      <w:r>
        <w:t>.</w:t>
      </w:r>
    </w:p>
  </w:footnote>
  <w:footnote w:id="6">
    <w:p w14:paraId="53E5A9AE" w14:textId="77777777" w:rsidR="00D24D39" w:rsidRDefault="00D24D39" w:rsidP="00D34986">
      <w:pPr>
        <w:pStyle w:val="FootnoteText"/>
      </w:pPr>
      <w:r>
        <w:rPr>
          <w:rStyle w:val="FootnoteReference"/>
        </w:rPr>
        <w:footnoteRef/>
      </w:r>
      <w:r>
        <w:t xml:space="preserve"> Including as a </w:t>
      </w:r>
      <w:r w:rsidRPr="001B7B66">
        <w:rPr>
          <w:i/>
          <w:lang w:eastAsia="en-AU"/>
        </w:rPr>
        <w:t>Local Retailer</w:t>
      </w:r>
      <w:r>
        <w:rPr>
          <w:lang w:eastAsia="en-AU"/>
        </w:rPr>
        <w:t xml:space="preserve"> in the </w:t>
      </w:r>
      <w:r>
        <w:rPr>
          <w:i/>
          <w:lang w:eastAsia="en-AU"/>
        </w:rPr>
        <w:t>region(s)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9D6D" w14:textId="77777777" w:rsidR="00D24D39" w:rsidRDefault="00D24D39" w:rsidP="003A585A">
    <w:pPr>
      <w:pStyle w:val="Header"/>
    </w:pPr>
    <w:r>
      <w:drawing>
        <wp:anchor distT="0" distB="0" distL="114300" distR="114300" simplePos="0" relativeHeight="251719168" behindDoc="1" locked="0" layoutInCell="1" allowOverlap="1" wp14:anchorId="7DF91A98" wp14:editId="587E38BF">
          <wp:simplePos x="0" y="0"/>
          <wp:positionH relativeFrom="page">
            <wp:posOffset>0</wp:posOffset>
          </wp:positionH>
          <wp:positionV relativeFrom="page">
            <wp:posOffset>0</wp:posOffset>
          </wp:positionV>
          <wp:extent cx="7560000" cy="1594800"/>
          <wp:effectExtent l="0" t="0" r="317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560000" cy="15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00987" w14:textId="77777777" w:rsidR="00D24D39" w:rsidRDefault="00D24D39" w:rsidP="003A585A">
    <w:pPr>
      <w:pStyle w:val="Header"/>
    </w:pPr>
    <w:r>
      <mc:AlternateContent>
        <mc:Choice Requires="wps">
          <w:drawing>
            <wp:anchor distT="0" distB="0" distL="114300" distR="114300" simplePos="0" relativeHeight="251717120" behindDoc="0" locked="0" layoutInCell="1" allowOverlap="1" wp14:anchorId="7D53D737" wp14:editId="14746566">
              <wp:simplePos x="0" y="0"/>
              <wp:positionH relativeFrom="page">
                <wp:posOffset>0</wp:posOffset>
              </wp:positionH>
              <wp:positionV relativeFrom="page">
                <wp:posOffset>1745615</wp:posOffset>
              </wp:positionV>
              <wp:extent cx="7559675" cy="464185"/>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59675" cy="464185"/>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C31F0" id="Rectangle 317" o:spid="_x0000_s1026" style="position:absolute;margin-left:0;margin-top:137.45pt;width:595.25pt;height:36.5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OTmwIAAIkFAAAOAAAAZHJzL2Uyb0RvYy54bWysVE1v2zAMvQ/YfxB0Xx1nSZMGdYogbYcB&#10;RVu0HXpWZCk2IIuapMTJfv0oyXY/VuwwLAdFFMlH8pnk+cWhUWQvrKtBFzQ/GVEiNIey1tuC/ni6&#10;/jKnxHmmS6ZAi4IehaMXy8+fzluzEGOoQJXCEgTRbtGaglbem0WWOV6JhrkTMEKjUoJtmEfRbrPS&#10;shbRG5WNR6PTrAVbGgtcOIevl0lJlxFfSsH9nZROeKIKirn5eNp4bsKZLc/ZYmuZqWrepcH+IYuG&#10;1RqDDlCXzDOys/UfUE3NLTiQ/oRDk4GUNRexBqwmH72r5rFiRsRakBxnBprc/4Plt/t7S+qyoF/z&#10;GSWaNfiRHpA2prdKkPCIFLXGLdDy0dzbTnJ4DfUepG3CP1ZCDpHW40CrOHjC8XE2nZ6dzqaUcNRN&#10;Tif5fBpAsxdvY53/JqAh4VJQi/Ejm2x/43wy7U1CMAeqLq9rpaJgt5u1smTP8BNfza8ml+sO/Y2Z&#10;0sFYQ3BLiOElC5WlWuLNH5UIdko/CIm0YPbjmElsSDHEYZwL7fOkqlgpUvjpCH999NDCwSNWGgED&#10;ssT4A3YH0FsmkB47ZdnZB1cR+3lwHv0tseQ8eMTIoP3g3NQa7EcACqvqIif7nqRETWBpA+URm8ZC&#10;miZn+HWN3+2GOX/PLI4PDhquBH+Hh1TQFhS6GyUV2F8fvQd77GrUUtLiOBbU/dwxKyhR3zX2+1k+&#10;mYT5jcJkOhujYF9rNq81etesAdshx+VjeLwGe6/6q7TQPOPmWIWoqGKaY+yCcm97Ye3TmsDdw8Vq&#10;Fc1wZg3zN/rR8AAeWA19+XR4ZtZ0zeux7W+hH122eNfDyTZ4aljtPMg6NvgLrx3fOO+xcbrdFBbK&#10;azlavWzQ5W8AAAD//wMAUEsDBBQABgAIAAAAIQC1Dzj14AAAAAkBAAAPAAAAZHJzL2Rvd25yZXYu&#10;eG1sTI/BTsMwEETvSPyDtUjcqJ3SQhuyqVARvaAeKAiJm2svSUS8jmK3Sfl63BMcRzOaeVOsRteK&#10;I/Wh8YyQTRQIYuNtwxXC+9vzzQJEiJqtbj0TwokCrMrLi0Ln1g/8SsddrEQq4ZBrhDrGLpcymJqc&#10;DhPfESfvy/dOxyT7StpeD6nctXKq1J10uuG0UOuO1jWZ793BIcw3/vRZGf+UufVPZrb0Mbw0G8Tr&#10;q/HxAUSkMf6F4Yyf0KFMTHt/YBtEi5CORITp/WwJ4mxnSzUHsUe4nS0UyLKQ/x+UvwAAAP//AwBQ&#10;SwECLQAUAAYACAAAACEAtoM4kv4AAADhAQAAEwAAAAAAAAAAAAAAAAAAAAAAW0NvbnRlbnRfVHlw&#10;ZXNdLnhtbFBLAQItABQABgAIAAAAIQA4/SH/1gAAAJQBAAALAAAAAAAAAAAAAAAAAC8BAABfcmVs&#10;cy8ucmVsc1BLAQItABQABgAIAAAAIQBJ8rOTmwIAAIkFAAAOAAAAAAAAAAAAAAAAAC4CAABkcnMv&#10;ZTJvRG9jLnhtbFBLAQItABQABgAIAAAAIQC1Dzj14AAAAAkBAAAPAAAAAAAAAAAAAAAAAPUEAABk&#10;cnMvZG93bnJldi54bWxQSwUGAAAAAAQABADzAAAAAgYAAAAA&#10;" fillcolor="#e8e4dc" stroked="f" strokeweight="2pt">
              <w10:wrap anchorx="page" anchory="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D24D39" w14:paraId="408C9D42" w14:textId="77777777" w:rsidTr="00C43A06">
      <w:trPr>
        <w:trHeight w:hRule="exact" w:val="2789"/>
      </w:trPr>
      <w:tc>
        <w:tcPr>
          <w:tcW w:w="9400" w:type="dxa"/>
        </w:tcPr>
        <w:p w14:paraId="57FA8351" w14:textId="77777777" w:rsidR="00D24D39" w:rsidRDefault="00D24D39" w:rsidP="003A585A">
          <w:pPr>
            <w:pStyle w:val="Header"/>
          </w:pPr>
        </w:p>
      </w:tc>
    </w:tr>
  </w:tbl>
  <w:p w14:paraId="6D79B6DA" w14:textId="77777777" w:rsidR="00D24D39" w:rsidRPr="00D34E41" w:rsidRDefault="00D24D39" w:rsidP="003A585A">
    <w:pPr>
      <w:pStyle w:val="Header"/>
    </w:pPr>
    <w:r w:rsidRPr="003F7E5C">
      <mc:AlternateContent>
        <mc:Choice Requires="wps">
          <w:drawing>
            <wp:anchor distT="0" distB="0" distL="114300" distR="114300" simplePos="0" relativeHeight="251718144" behindDoc="1" locked="1" layoutInCell="1" allowOverlap="1" wp14:anchorId="5062BCD1" wp14:editId="76F271B1">
              <wp:simplePos x="0" y="0"/>
              <wp:positionH relativeFrom="page">
                <wp:posOffset>0</wp:posOffset>
              </wp:positionH>
              <wp:positionV relativeFrom="page">
                <wp:posOffset>1575435</wp:posOffset>
              </wp:positionV>
              <wp:extent cx="7559675" cy="175895"/>
              <wp:effectExtent l="0" t="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589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3E2EA" id="Rectangle 4" o:spid="_x0000_s1026" style="position:absolute;margin-left:0;margin-top:124.05pt;width:595.25pt;height:13.8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JwAQIAAOkDAAAOAAAAZHJzL2Uyb0RvYy54bWysU8GO0zAQvSPxD5bvNE3VbLdR09Wqq0VI&#10;C6x24QNcx0ksHI8Zu03L1zN22lLghrhYHs/4zZvn59XdoTdsr9BrsBXPJ1POlJVQa9tW/OuXx3e3&#10;nPkgbC0MWFXxo/L8bv32zWpwpZpBB6ZWyAjE+nJwFe9CcGWWedmpXvgJOGUp2QD2IlCIbVajGAi9&#10;N9lsOr3JBsDaIUjlPZ0+jEm+TvhNo2T43DReBWYqTtxCWjGt27hm65UoWxSu0/JEQ/wDi15oS00v&#10;UA8iCLZD/RdUryWChyZMJPQZNI2WKs1A0+TTP6Z57YRTaRYSx7uLTP7/wcpP+2dkuq74nDMrenqi&#10;FxJN2NYoNo/yDM6XVPXqnjEO6N0TyG+eWdh0VKXuEWHolKiJVB7rs98uxMDTVbYdPkJN6GIXICl1&#10;aLCPgKQBO6QHOV4eRB0Ck3S4KIrlzaLgTFIuXxS3yyK1EOX5tkMf3ivoWdxUHIl7Qhf7Jx8iG1Ge&#10;SxJ7MLp+1MakIJpMbQyyvSB7CCmVDecG/rrS2FhvId4cQccT4nlqc55z1GsL9ZFmRhj9Rv+DNh3g&#10;D84G8lrF/fedQMWZ+WBJt2U+n0dzpmBeLGYU4HVme50RVhJUxQNn43YTRkPvHOq2o055ksDCPWnd&#10;6CRD5DeyOr0Q+Smpc/J+NOx1nKp+/dD1TwAAAP//AwBQSwMEFAAGAAgAAAAhAGbnRUHdAAAACQEA&#10;AA8AAABkcnMvZG93bnJldi54bWxMj81ugzAQhO+V+g7WVuqtMdAmpQQTRZV6qZRDfh5gMRtAwWuE&#10;zU/fvs6pPc7OauabfLeYTkw0uNaygngVgSDWtmq5VnA5f72kIJxHrrCzTAp+yMGueHzIMavszEea&#10;Tr4WIYRdhgoa7/tMSqcbMuhWticO3tUOBn2QQy2rAecQbjqZRNFGGmw5NDTY02dD+nYajYJ6+r69&#10;6vGoPSab8nyY3WGPTqnnp2W/BeFp8X/PcMcP6FAEptKOXDnRKQhDvILkLY1B3O34I1qDKMPpfZ2C&#10;LHL5f0HxCwAA//8DAFBLAQItABQABgAIAAAAIQC2gziS/gAAAOEBAAATAAAAAAAAAAAAAAAAAAAA&#10;AABbQ29udGVudF9UeXBlc10ueG1sUEsBAi0AFAAGAAgAAAAhADj9If/WAAAAlAEAAAsAAAAAAAAA&#10;AAAAAAAALwEAAF9yZWxzLy5yZWxzUEsBAi0AFAAGAAgAAAAhAIHiQnABAgAA6QMAAA4AAAAAAAAA&#10;AAAAAAAALgIAAGRycy9lMm9Eb2MueG1sUEsBAi0AFAAGAAgAAAAhAGbnRUHdAAAACQEAAA8AAAAA&#10;AAAAAAAAAAAAWwQAAGRycy9kb3ducmV2LnhtbFBLBQYAAAAABAAEAPMAAABlBQAAAAA=&#10;" fillcolor="#948671 [3208]" stroked="f">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25EB" w14:textId="77777777" w:rsidR="00D24D39" w:rsidRDefault="00D24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FFE08" w14:textId="77777777" w:rsidR="00D24D39" w:rsidRDefault="00D24D39" w:rsidP="00BD6C4C">
    <w:pPr>
      <w:pStyle w:val="Header"/>
    </w:pPr>
    <w:r>
      <w:drawing>
        <wp:anchor distT="0" distB="0" distL="114300" distR="114300" simplePos="0" relativeHeight="251628032" behindDoc="0" locked="0" layoutInCell="1" allowOverlap="1" wp14:anchorId="2B807283" wp14:editId="79B5D16B">
          <wp:simplePos x="0" y="0"/>
          <wp:positionH relativeFrom="column">
            <wp:posOffset>-302895</wp:posOffset>
          </wp:positionH>
          <wp:positionV relativeFrom="paragraph">
            <wp:posOffset>-30480</wp:posOffset>
          </wp:positionV>
          <wp:extent cx="213862" cy="213995"/>
          <wp:effectExtent l="0" t="0" r="0" b="0"/>
          <wp:wrapNone/>
          <wp:docPr id="25"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4F30012A" wp14:editId="7FA97581">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230DE07C" wp14:editId="6669AA05">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45EA3A2"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iMxwAAANwAAAAPAAAAZHJzL2Rvd25yZXYueG1sRI9Ba8JA&#10;FITvhf6H5RV6azZVEBNdpS2IJSilqQjeHtlnEsy+Ddk1pv31riD0OMzMN8x8OZhG9NS52rKC1ygG&#10;QVxYXXOpYPezepmCcB5ZY2OZFPySg+Xi8WGOqbYX/qY+96UIEHYpKqi8b1MpXVGRQRfZljh4R9sZ&#10;9EF2pdQdXgLcNHIUxxNpsOawUGFLHxUVp/xsFLxP/o7n3TbbJ19DvllnWdYnB1Tq+Wl4m4HwNPj/&#10;8L39qRWM4wRuZ8IRkIsrAAAA//8DAFBLAQItABQABgAIAAAAIQDb4fbL7gAAAIUBAAATAAAAAAAA&#10;AAAAAAAAAAAAAABbQ29udGVudF9UeXBlc10ueG1sUEsBAi0AFAAGAAgAAAAhAFr0LFu/AAAAFQEA&#10;AAsAAAAAAAAAAAAAAAAAHwEAAF9yZWxzLy5yZWxzUEsBAi0AFAAGAAgAAAAhALPy2IzHAAAA3AAA&#10;AA8AAAAAAAAAAAAAAAAABwIAAGRycy9kb3ducmV2LnhtbFBLBQYAAAAAAwADALcAAAD7AgAAAAA=&#10;">
                <v:imagedata r:id="rId3" o:title=""/>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W5wwAAANwAAAAPAAAAZHJzL2Rvd25yZXYueG1sRI9bawIx&#10;FITfBf9DOEJfpCar9MLWKFoQfPUCfT3dnG4WNydrEnX996ZQ6OMwM98w82XvWnGlEBvPGoqJAkFc&#10;edNwreF42Dy/g4gJ2WDrmTTcKcJyMRzMsTT+xju67lMtMoRjiRpsSl0pZawsOYwT3xFn78cHhynL&#10;UEsT8JbhrpVTpV6lw4bzgsWOPi1Vp/3Fadj5r5Oarl+Kt8PsrFoa99+htlo/jfrVB4hEffoP/7W3&#10;RsOsKOD3TD4CcvEAAAD//wMAUEsBAi0AFAAGAAgAAAAhANvh9svuAAAAhQEAABMAAAAAAAAAAAAA&#10;AAAAAAAAAFtDb250ZW50X1R5cGVzXS54bWxQSwECLQAUAAYACAAAACEAWvQsW78AAAAVAQAACwAA&#10;AAAAAAAAAAAAAAAfAQAAX3JlbHMvLnJlbHNQSwECLQAUAAYACAAAACEAlEIFucMAAADcAAAADwAA&#10;AAAAAAAAAAAAAAAHAgAAZHJzL2Rvd25yZXYueG1sUEsFBgAAAAADAAMAtwAAAPcCAAAAAA==&#10;">
                <v:imagedata r:id="rId4" o:title=""/>
              </v:shape>
            </v:group>
          </w:pict>
        </mc:Fallback>
      </mc:AlternateContent>
    </w:r>
    <w:r>
      <w:rPr>
        <w:position w:val="-10"/>
      </w:rPr>
      <w:drawing>
        <wp:anchor distT="0" distB="0" distL="114300" distR="114300" simplePos="0" relativeHeight="251630080" behindDoc="1" locked="0" layoutInCell="1" allowOverlap="1" wp14:anchorId="7EAC6BC3" wp14:editId="37AF11E6">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STYLEREF  Title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91F7" w14:textId="3133B3D4" w:rsidR="00D24D39" w:rsidRPr="00BD6C4C" w:rsidRDefault="00D24D39" w:rsidP="00BD6C4C">
    <w:pPr>
      <w:pStyle w:val="Header"/>
    </w:pPr>
    <w:r>
      <w:fldChar w:fldCharType="begin"/>
    </w:r>
    <w:r w:rsidRPr="00C63C58">
      <w:instrText xml:space="preserve"> STYLEREF  Title  \* MERGEFORMAT </w:instrText>
    </w:r>
    <w:r>
      <w:fldChar w:fldCharType="end"/>
    </w:r>
    <w:r w:rsidRPr="00BD6C4C">
      <w:drawing>
        <wp:anchor distT="0" distB="0" distL="114300" distR="114300" simplePos="0" relativeHeight="251643392" behindDoc="1" locked="1" layoutInCell="1" allowOverlap="1" wp14:anchorId="524E7A59" wp14:editId="27B88159">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31"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1EDEE" w14:textId="77777777" w:rsidR="00D24D39" w:rsidRDefault="00D2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BC129" w14:textId="77777777" w:rsidR="00D24D39" w:rsidRPr="00710277" w:rsidRDefault="00D24D39" w:rsidP="00BD6C4C">
    <w:pPr>
      <w:pStyle w:val="Header"/>
    </w:pPr>
    <w:r>
      <w:drawing>
        <wp:anchor distT="0" distB="0" distL="114300" distR="114300" simplePos="0" relativeHeight="251632128" behindDoc="0" locked="0" layoutInCell="1" allowOverlap="1" wp14:anchorId="7876B460" wp14:editId="7CF2C760">
          <wp:simplePos x="0" y="0"/>
          <wp:positionH relativeFrom="column">
            <wp:posOffset>-302895</wp:posOffset>
          </wp:positionH>
          <wp:positionV relativeFrom="paragraph">
            <wp:posOffset>-30480</wp:posOffset>
          </wp:positionV>
          <wp:extent cx="213862" cy="213995"/>
          <wp:effectExtent l="0" t="0" r="0" b="0"/>
          <wp:wrapNone/>
          <wp:docPr id="1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33152" behindDoc="0" locked="0" layoutInCell="1" allowOverlap="1" wp14:anchorId="08D79B80" wp14:editId="52752716">
          <wp:simplePos x="0" y="0"/>
          <wp:positionH relativeFrom="column">
            <wp:posOffset>-301704</wp:posOffset>
          </wp:positionH>
          <wp:positionV relativeFrom="paragraph">
            <wp:posOffset>-29845</wp:posOffset>
          </wp:positionV>
          <wp:extent cx="213862" cy="213995"/>
          <wp:effectExtent l="0" t="0" r="0" b="0"/>
          <wp:wrapNone/>
          <wp:docPr id="12"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31104" behindDoc="0" locked="0" layoutInCell="1" allowOverlap="1" wp14:anchorId="7369498F" wp14:editId="2937F999">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C8835A3" id="BothIcons" o:spid="_x0000_s1026" style="position:absolute;margin-left:-44.55pt;margin-top:-2.7pt;width:37.5pt;height:16.85pt;z-index:25163110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m7xwAAANwAAAAPAAAAZHJzL2Rvd25yZXYueG1sRI/dasJA&#10;FITvhb7Dcgre6cYKomlWaQulEhRpKoXeHbInPzR7NmTXmPbpXUHwcpiZb5hkM5hG9NS52rKC2TQC&#10;QZxbXXOp4Pj1PlmCcB5ZY2OZFPyRg836YZRgrO2ZP6nPfCkChF2MCirv21hKl1dk0E1tSxy8wnYG&#10;fZBdKXWH5wA3jXyKooU0WHNYqLClt4ry3+xkFLwu/ovTcZ9+rw5DtvtI07Rf/aBS48fh5RmEp8Hf&#10;w7f2ViuYz+ZwPROOgFxfAAAA//8DAFBLAQItABQABgAIAAAAIQDb4fbL7gAAAIUBAAATAAAAAAAA&#10;AAAAAAAAAAAAAABbQ29udGVudF9UeXBlc10ueG1sUEsBAi0AFAAGAAgAAAAhAFr0LFu/AAAAFQEA&#10;AAsAAAAAAAAAAAAAAAAAHwEAAF9yZWxzLy5yZWxzUEsBAi0AFAAGAAgAAAAhAFfDebvHAAAA3AAA&#10;AA8AAAAAAAAAAAAAAAAABwIAAGRycy9kb3ducmV2LnhtbFBLBQYAAAAAAwADALcAAAD7AgAAAAA=&#10;">
                <v:imagedata r:id="rId3" o:title=""/>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YhxAAAANwAAAAPAAAAZHJzL2Rvd25yZXYueG1sRI9bawIx&#10;FITfC/0P4RT6UmqyXtqyNYotCL56AV9PN6ebxc3JNom6/fdGEHwcZuYbZjrvXStOFGLjWUMxUCCI&#10;K28arjXstsvXDxAxIRtsPZOGf4ownz0+TLE0/sxrOm1SLTKEY4kabEpdKWWsLDmMA98RZ+/XB4cp&#10;y1BLE/Cc4a6VQ6XepMOG84LFjr4tVYfN0WlY+/1BDb8mxft29Kdaeul/Qm21fn7qF58gEvXpHr61&#10;V0bDqBjD9Uw+AnJ2AQAA//8DAFBLAQItABQABgAIAAAAIQDb4fbL7gAAAIUBAAATAAAAAAAAAAAA&#10;AAAAAAAAAABbQ29udGVudF9UeXBlc10ueG1sUEsBAi0AFAAGAAgAAAAhAFr0LFu/AAAAFQEAAAsA&#10;AAAAAAAAAAAAAAAAHwEAAF9yZWxzLy5yZWxzUEsBAi0AFAAGAAgAAAAhAIQ1piHEAAAA3AAAAA8A&#10;AAAAAAAAAAAAAAAABwIAAGRycy9kb3ducmV2LnhtbFBLBQYAAAAAAwADALcAAAD4AgAAAAA=&#10;">
                <v:imagedata r:id="rId4" o:title=""/>
              </v:shape>
            </v:group>
          </w:pict>
        </mc:Fallback>
      </mc:AlternateContent>
    </w:r>
    <w:r>
      <w:rPr>
        <w:position w:val="-10"/>
      </w:rPr>
      <w:drawing>
        <wp:anchor distT="0" distB="0" distL="114300" distR="114300" simplePos="0" relativeHeight="251634176" behindDoc="1" locked="0" layoutInCell="1" allowOverlap="1" wp14:anchorId="636F25CA" wp14:editId="3A09B3F7">
          <wp:simplePos x="0" y="0"/>
          <wp:positionH relativeFrom="page">
            <wp:posOffset>0</wp:posOffset>
          </wp:positionH>
          <wp:positionV relativeFrom="page">
            <wp:posOffset>0</wp:posOffset>
          </wp:positionV>
          <wp:extent cx="7570800" cy="925200"/>
          <wp:effectExtent l="0" t="0" r="0" b="8255"/>
          <wp:wrapNone/>
          <wp:docPr id="13" name="Picture 13"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STYLEREF  Title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803CD" w14:textId="0AF643F7" w:rsidR="00D24D39" w:rsidRPr="00BD6C4C" w:rsidRDefault="00D24D39" w:rsidP="00B109A1">
    <w:pPr>
      <w:pStyle w:val="Header"/>
    </w:pPr>
    <w:r>
      <w:fldChar w:fldCharType="begin"/>
    </w:r>
    <w:r w:rsidRPr="00C63C58">
      <w:instrText xml:space="preserve"> STYLEREF  Title  \* MERGEFORMAT </w:instrText>
    </w:r>
    <w:r>
      <w:fldChar w:fldCharType="end"/>
    </w:r>
    <w:r w:rsidRPr="00BD6C4C">
      <w:drawing>
        <wp:anchor distT="0" distB="0" distL="114300" distR="114300" simplePos="0" relativeHeight="251699712" behindDoc="1" locked="1" layoutInCell="1" allowOverlap="1" wp14:anchorId="2149CEB1" wp14:editId="278B2C7A">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4"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1ABF" w14:textId="77777777" w:rsidR="00D24D39" w:rsidRDefault="00D24D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B6540" w14:textId="77777777" w:rsidR="00D24D39" w:rsidRDefault="00D24D39">
    <w:pPr>
      <w:pStyle w:val="Header"/>
    </w:pPr>
  </w:p>
  <w:p w14:paraId="0348247E" w14:textId="77777777" w:rsidR="00D24D39" w:rsidRDefault="00D24D3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8886F" w14:textId="23E6B95D" w:rsidR="00D24D39" w:rsidRDefault="00D24D39" w:rsidP="00BC3A8F">
    <w:pPr>
      <w:pStyle w:val="Header"/>
    </w:pPr>
    <w:r>
      <w:fldChar w:fldCharType="begin"/>
    </w:r>
    <w:r w:rsidRPr="00C63C58">
      <w:instrText xml:space="preserve"> STYLEREF  Title  \* MERGEFORMAT </w:instrText>
    </w:r>
    <w:r>
      <w:fldChar w:fldCharType="end"/>
    </w:r>
    <w:r w:rsidRPr="00BD6C4C">
      <w:drawing>
        <wp:anchor distT="0" distB="0" distL="114300" distR="114300" simplePos="0" relativeHeight="251705856" behindDoc="1" locked="1" layoutInCell="1" allowOverlap="1" wp14:anchorId="2136056F" wp14:editId="307B473F">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8"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FD3"/>
    <w:multiLevelType w:val="hybridMultilevel"/>
    <w:tmpl w:val="EB801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3" w15:restartNumberingAfterBreak="0">
    <w:nsid w:val="036A2B72"/>
    <w:multiLevelType w:val="multilevel"/>
    <w:tmpl w:val="5358B5EE"/>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77C4B70"/>
    <w:multiLevelType w:val="multilevel"/>
    <w:tmpl w:val="CE7E5436"/>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5" w15:restartNumberingAfterBreak="0">
    <w:nsid w:val="0EF1722E"/>
    <w:multiLevelType w:val="hybridMultilevel"/>
    <w:tmpl w:val="40903000"/>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7"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4FC31CB"/>
    <w:multiLevelType w:val="multilevel"/>
    <w:tmpl w:val="1C149D7C"/>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0"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300DC8"/>
    <w:multiLevelType w:val="hybridMultilevel"/>
    <w:tmpl w:val="C0262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ED20A9"/>
    <w:multiLevelType w:val="hybridMultilevel"/>
    <w:tmpl w:val="42B217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4" w15:restartNumberingAfterBreak="0">
    <w:nsid w:val="1D2253F0"/>
    <w:multiLevelType w:val="multilevel"/>
    <w:tmpl w:val="646C107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6B51C2"/>
    <w:multiLevelType w:val="hybridMultilevel"/>
    <w:tmpl w:val="54BAFF86"/>
    <w:lvl w:ilvl="0" w:tplc="56B25F9A">
      <w:start w:val="1"/>
      <w:numFmt w:val="lowerRoman"/>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CB13356"/>
    <w:multiLevelType w:val="hybridMultilevel"/>
    <w:tmpl w:val="2ABCB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8D398F"/>
    <w:multiLevelType w:val="hybridMultilevel"/>
    <w:tmpl w:val="A10CC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C31A2B"/>
    <w:multiLevelType w:val="hybridMultilevel"/>
    <w:tmpl w:val="14A6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7B629F"/>
    <w:multiLevelType w:val="multilevel"/>
    <w:tmpl w:val="3DECE9F8"/>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32363B5"/>
    <w:multiLevelType w:val="hybridMultilevel"/>
    <w:tmpl w:val="B0203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2"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51A90D54"/>
    <w:multiLevelType w:val="hybridMultilevel"/>
    <w:tmpl w:val="ED7EA262"/>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745D61BF"/>
    <w:multiLevelType w:val="hybridMultilevel"/>
    <w:tmpl w:val="5AA6FB8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7AB96BFA"/>
    <w:multiLevelType w:val="multilevel"/>
    <w:tmpl w:val="7C4E455A"/>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4"/>
  </w:num>
  <w:num w:numId="3">
    <w:abstractNumId w:val="7"/>
  </w:num>
  <w:num w:numId="4">
    <w:abstractNumId w:val="3"/>
  </w:num>
  <w:num w:numId="5">
    <w:abstractNumId w:val="19"/>
  </w:num>
  <w:num w:numId="6">
    <w:abstractNumId w:val="14"/>
  </w:num>
  <w:num w:numId="7">
    <w:abstractNumId w:val="8"/>
  </w:num>
  <w:num w:numId="8">
    <w:abstractNumId w:val="21"/>
  </w:num>
  <w:num w:numId="9">
    <w:abstractNumId w:val="9"/>
  </w:num>
  <w:num w:numId="10">
    <w:abstractNumId w:val="13"/>
  </w:num>
  <w:num w:numId="11">
    <w:abstractNumId w:val="10"/>
  </w:num>
  <w:num w:numId="12">
    <w:abstractNumId w:val="25"/>
  </w:num>
  <w:num w:numId="13">
    <w:abstractNumId w:val="1"/>
  </w:num>
  <w:num w:numId="14">
    <w:abstractNumId w:val="22"/>
  </w:num>
  <w:num w:numId="15">
    <w:abstractNumId w:val="2"/>
  </w:num>
  <w:num w:numId="16">
    <w:abstractNumId w:val="24"/>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3"/>
  </w:num>
  <w:num w:numId="20">
    <w:abstractNumId w:val="15"/>
  </w:num>
  <w:num w:numId="21">
    <w:abstractNumId w:val="17"/>
  </w:num>
  <w:num w:numId="22">
    <w:abstractNumId w:val="18"/>
  </w:num>
  <w:num w:numId="23">
    <w:abstractNumId w:val="0"/>
  </w:num>
  <w:num w:numId="24">
    <w:abstractNumId w:val="20"/>
  </w:num>
  <w:num w:numId="25">
    <w:abstractNumId w:val="12"/>
  </w:num>
  <w:num w:numId="26">
    <w:abstractNumId w:val="16"/>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521"/>
    <w:rsid w:val="00010B32"/>
    <w:rsid w:val="00011A44"/>
    <w:rsid w:val="00014B14"/>
    <w:rsid w:val="0001779A"/>
    <w:rsid w:val="00022B1E"/>
    <w:rsid w:val="000238C8"/>
    <w:rsid w:val="00023B53"/>
    <w:rsid w:val="00027BFA"/>
    <w:rsid w:val="00030B52"/>
    <w:rsid w:val="00032869"/>
    <w:rsid w:val="00037DAA"/>
    <w:rsid w:val="000412AF"/>
    <w:rsid w:val="00050841"/>
    <w:rsid w:val="00071D2A"/>
    <w:rsid w:val="00075378"/>
    <w:rsid w:val="000776DF"/>
    <w:rsid w:val="00077B62"/>
    <w:rsid w:val="00083C2A"/>
    <w:rsid w:val="00086C68"/>
    <w:rsid w:val="00094268"/>
    <w:rsid w:val="00094297"/>
    <w:rsid w:val="00094619"/>
    <w:rsid w:val="000A3185"/>
    <w:rsid w:val="000A6D05"/>
    <w:rsid w:val="000B5221"/>
    <w:rsid w:val="000B5CBC"/>
    <w:rsid w:val="000C0356"/>
    <w:rsid w:val="000C174F"/>
    <w:rsid w:val="000C657F"/>
    <w:rsid w:val="000C69F1"/>
    <w:rsid w:val="000C7C08"/>
    <w:rsid w:val="000D65B0"/>
    <w:rsid w:val="000E4BD3"/>
    <w:rsid w:val="000E4F2C"/>
    <w:rsid w:val="000F03C7"/>
    <w:rsid w:val="000F59CA"/>
    <w:rsid w:val="0010487D"/>
    <w:rsid w:val="00124944"/>
    <w:rsid w:val="00125853"/>
    <w:rsid w:val="00126592"/>
    <w:rsid w:val="00137B19"/>
    <w:rsid w:val="00137B8A"/>
    <w:rsid w:val="0014086C"/>
    <w:rsid w:val="00141F40"/>
    <w:rsid w:val="00150406"/>
    <w:rsid w:val="001641EE"/>
    <w:rsid w:val="001727F7"/>
    <w:rsid w:val="001734C3"/>
    <w:rsid w:val="00174A62"/>
    <w:rsid w:val="001751F4"/>
    <w:rsid w:val="00191443"/>
    <w:rsid w:val="0019250F"/>
    <w:rsid w:val="001A1714"/>
    <w:rsid w:val="001A4016"/>
    <w:rsid w:val="001A7F84"/>
    <w:rsid w:val="001B28B2"/>
    <w:rsid w:val="001B362D"/>
    <w:rsid w:val="001D75D5"/>
    <w:rsid w:val="001E05FF"/>
    <w:rsid w:val="001E7B42"/>
    <w:rsid w:val="001F0280"/>
    <w:rsid w:val="001F785D"/>
    <w:rsid w:val="002034F1"/>
    <w:rsid w:val="00203875"/>
    <w:rsid w:val="0020434B"/>
    <w:rsid w:val="00212369"/>
    <w:rsid w:val="00212F09"/>
    <w:rsid w:val="002229FB"/>
    <w:rsid w:val="002237CF"/>
    <w:rsid w:val="00226935"/>
    <w:rsid w:val="00236646"/>
    <w:rsid w:val="00242C60"/>
    <w:rsid w:val="00243F56"/>
    <w:rsid w:val="00252983"/>
    <w:rsid w:val="002612D3"/>
    <w:rsid w:val="0026712A"/>
    <w:rsid w:val="00267C19"/>
    <w:rsid w:val="0028199D"/>
    <w:rsid w:val="002864B3"/>
    <w:rsid w:val="0028681D"/>
    <w:rsid w:val="00295F08"/>
    <w:rsid w:val="002A1D3A"/>
    <w:rsid w:val="002A25D8"/>
    <w:rsid w:val="002A2C84"/>
    <w:rsid w:val="002B4878"/>
    <w:rsid w:val="002C586C"/>
    <w:rsid w:val="002D48EC"/>
    <w:rsid w:val="002E7C37"/>
    <w:rsid w:val="002F4590"/>
    <w:rsid w:val="002F5FF3"/>
    <w:rsid w:val="00301D42"/>
    <w:rsid w:val="003028A0"/>
    <w:rsid w:val="00314EE0"/>
    <w:rsid w:val="00315EC7"/>
    <w:rsid w:val="0031609E"/>
    <w:rsid w:val="00322C79"/>
    <w:rsid w:val="003430F8"/>
    <w:rsid w:val="00343C3A"/>
    <w:rsid w:val="00345855"/>
    <w:rsid w:val="003541DC"/>
    <w:rsid w:val="00354207"/>
    <w:rsid w:val="003560FB"/>
    <w:rsid w:val="00360C1A"/>
    <w:rsid w:val="00370D64"/>
    <w:rsid w:val="003739D3"/>
    <w:rsid w:val="00376496"/>
    <w:rsid w:val="00381B00"/>
    <w:rsid w:val="003852EC"/>
    <w:rsid w:val="00396E83"/>
    <w:rsid w:val="003A0521"/>
    <w:rsid w:val="003A3BAC"/>
    <w:rsid w:val="003A585A"/>
    <w:rsid w:val="003A6076"/>
    <w:rsid w:val="003B0194"/>
    <w:rsid w:val="003B587F"/>
    <w:rsid w:val="003B7004"/>
    <w:rsid w:val="003B7E7B"/>
    <w:rsid w:val="003E272D"/>
    <w:rsid w:val="003E2BF7"/>
    <w:rsid w:val="003E2FB9"/>
    <w:rsid w:val="003E7127"/>
    <w:rsid w:val="003E736B"/>
    <w:rsid w:val="003F5E6B"/>
    <w:rsid w:val="003F7609"/>
    <w:rsid w:val="0040391F"/>
    <w:rsid w:val="00410F79"/>
    <w:rsid w:val="00413D01"/>
    <w:rsid w:val="00415723"/>
    <w:rsid w:val="00415BE5"/>
    <w:rsid w:val="004220A7"/>
    <w:rsid w:val="0043148C"/>
    <w:rsid w:val="00435600"/>
    <w:rsid w:val="00435A2E"/>
    <w:rsid w:val="00436DAB"/>
    <w:rsid w:val="004410C2"/>
    <w:rsid w:val="00441A16"/>
    <w:rsid w:val="004427F9"/>
    <w:rsid w:val="004449B2"/>
    <w:rsid w:val="00451367"/>
    <w:rsid w:val="00451C88"/>
    <w:rsid w:val="00454EB2"/>
    <w:rsid w:val="00455203"/>
    <w:rsid w:val="004554D7"/>
    <w:rsid w:val="00456161"/>
    <w:rsid w:val="00470629"/>
    <w:rsid w:val="00474A60"/>
    <w:rsid w:val="0047675C"/>
    <w:rsid w:val="004771F8"/>
    <w:rsid w:val="00477D6C"/>
    <w:rsid w:val="0048178C"/>
    <w:rsid w:val="004839BB"/>
    <w:rsid w:val="004954FD"/>
    <w:rsid w:val="004A25EC"/>
    <w:rsid w:val="004A6FE6"/>
    <w:rsid w:val="004B0368"/>
    <w:rsid w:val="004B53C0"/>
    <w:rsid w:val="004B545A"/>
    <w:rsid w:val="004B54FF"/>
    <w:rsid w:val="004C5114"/>
    <w:rsid w:val="004E3A86"/>
    <w:rsid w:val="004E7294"/>
    <w:rsid w:val="004E784F"/>
    <w:rsid w:val="004F76AA"/>
    <w:rsid w:val="004F7735"/>
    <w:rsid w:val="0050256C"/>
    <w:rsid w:val="005032D6"/>
    <w:rsid w:val="00503F4B"/>
    <w:rsid w:val="00520D19"/>
    <w:rsid w:val="00535D3F"/>
    <w:rsid w:val="00551AD8"/>
    <w:rsid w:val="005537C0"/>
    <w:rsid w:val="00562CDF"/>
    <w:rsid w:val="00570BD6"/>
    <w:rsid w:val="0057703A"/>
    <w:rsid w:val="005803E6"/>
    <w:rsid w:val="005860B9"/>
    <w:rsid w:val="00596E73"/>
    <w:rsid w:val="005A34A9"/>
    <w:rsid w:val="005B2232"/>
    <w:rsid w:val="005C1B6C"/>
    <w:rsid w:val="005C1DB1"/>
    <w:rsid w:val="005C3539"/>
    <w:rsid w:val="005C5A50"/>
    <w:rsid w:val="005D22B4"/>
    <w:rsid w:val="005D27E4"/>
    <w:rsid w:val="005F2DB6"/>
    <w:rsid w:val="005F3A83"/>
    <w:rsid w:val="00602FA3"/>
    <w:rsid w:val="00604919"/>
    <w:rsid w:val="00615051"/>
    <w:rsid w:val="006219FF"/>
    <w:rsid w:val="006225E2"/>
    <w:rsid w:val="00634F4A"/>
    <w:rsid w:val="00651AA4"/>
    <w:rsid w:val="00656456"/>
    <w:rsid w:val="00667ED5"/>
    <w:rsid w:val="0067106F"/>
    <w:rsid w:val="00673A1C"/>
    <w:rsid w:val="00673AB4"/>
    <w:rsid w:val="00675E06"/>
    <w:rsid w:val="00676DF1"/>
    <w:rsid w:val="00677700"/>
    <w:rsid w:val="006866F3"/>
    <w:rsid w:val="006A10CF"/>
    <w:rsid w:val="006A6FB3"/>
    <w:rsid w:val="006B0231"/>
    <w:rsid w:val="006B1F3B"/>
    <w:rsid w:val="006B6119"/>
    <w:rsid w:val="006C13DF"/>
    <w:rsid w:val="006E6F12"/>
    <w:rsid w:val="006F116B"/>
    <w:rsid w:val="007065EA"/>
    <w:rsid w:val="00710277"/>
    <w:rsid w:val="00714DD5"/>
    <w:rsid w:val="00721521"/>
    <w:rsid w:val="00726E5D"/>
    <w:rsid w:val="00734044"/>
    <w:rsid w:val="00737624"/>
    <w:rsid w:val="0074578A"/>
    <w:rsid w:val="00747E0D"/>
    <w:rsid w:val="007624D3"/>
    <w:rsid w:val="00765CBB"/>
    <w:rsid w:val="00780A30"/>
    <w:rsid w:val="007905B8"/>
    <w:rsid w:val="00790D25"/>
    <w:rsid w:val="007A3B53"/>
    <w:rsid w:val="007B1164"/>
    <w:rsid w:val="007B599E"/>
    <w:rsid w:val="007C0DA9"/>
    <w:rsid w:val="007C3594"/>
    <w:rsid w:val="007D6D25"/>
    <w:rsid w:val="007E2C08"/>
    <w:rsid w:val="007E790B"/>
    <w:rsid w:val="007F7200"/>
    <w:rsid w:val="0080061D"/>
    <w:rsid w:val="00805783"/>
    <w:rsid w:val="00806C88"/>
    <w:rsid w:val="008078E8"/>
    <w:rsid w:val="00813A65"/>
    <w:rsid w:val="00816ADF"/>
    <w:rsid w:val="00821F27"/>
    <w:rsid w:val="0083095A"/>
    <w:rsid w:val="0083505D"/>
    <w:rsid w:val="00841DD8"/>
    <w:rsid w:val="00843355"/>
    <w:rsid w:val="00843939"/>
    <w:rsid w:val="0084592A"/>
    <w:rsid w:val="00846111"/>
    <w:rsid w:val="0086079F"/>
    <w:rsid w:val="00864940"/>
    <w:rsid w:val="00871831"/>
    <w:rsid w:val="0088148D"/>
    <w:rsid w:val="00884FDA"/>
    <w:rsid w:val="008850D9"/>
    <w:rsid w:val="00886AC4"/>
    <w:rsid w:val="008878D2"/>
    <w:rsid w:val="00893A95"/>
    <w:rsid w:val="00895496"/>
    <w:rsid w:val="00896804"/>
    <w:rsid w:val="008A0CA6"/>
    <w:rsid w:val="008B2DB1"/>
    <w:rsid w:val="008B3252"/>
    <w:rsid w:val="008B35E0"/>
    <w:rsid w:val="008B541A"/>
    <w:rsid w:val="008B5E6E"/>
    <w:rsid w:val="008B7804"/>
    <w:rsid w:val="008C137C"/>
    <w:rsid w:val="008C59E1"/>
    <w:rsid w:val="008E53BD"/>
    <w:rsid w:val="008E59B7"/>
    <w:rsid w:val="008E6567"/>
    <w:rsid w:val="008E7CB8"/>
    <w:rsid w:val="008F2864"/>
    <w:rsid w:val="008F3C51"/>
    <w:rsid w:val="008F70B6"/>
    <w:rsid w:val="00921F00"/>
    <w:rsid w:val="0092506C"/>
    <w:rsid w:val="00927CE5"/>
    <w:rsid w:val="00935E03"/>
    <w:rsid w:val="00945D09"/>
    <w:rsid w:val="00946645"/>
    <w:rsid w:val="00947025"/>
    <w:rsid w:val="00954595"/>
    <w:rsid w:val="009611A6"/>
    <w:rsid w:val="009614EA"/>
    <w:rsid w:val="00962609"/>
    <w:rsid w:val="00972A79"/>
    <w:rsid w:val="00976718"/>
    <w:rsid w:val="009873FC"/>
    <w:rsid w:val="00991D77"/>
    <w:rsid w:val="00992A0E"/>
    <w:rsid w:val="009A356C"/>
    <w:rsid w:val="009B2D96"/>
    <w:rsid w:val="009C560D"/>
    <w:rsid w:val="009D71F2"/>
    <w:rsid w:val="009E3B39"/>
    <w:rsid w:val="009F6F2E"/>
    <w:rsid w:val="009F7908"/>
    <w:rsid w:val="00A00181"/>
    <w:rsid w:val="00A02098"/>
    <w:rsid w:val="00A057B2"/>
    <w:rsid w:val="00A1549F"/>
    <w:rsid w:val="00A341F0"/>
    <w:rsid w:val="00A50648"/>
    <w:rsid w:val="00A55039"/>
    <w:rsid w:val="00A55118"/>
    <w:rsid w:val="00A5671B"/>
    <w:rsid w:val="00A601AC"/>
    <w:rsid w:val="00A7158E"/>
    <w:rsid w:val="00A84FC9"/>
    <w:rsid w:val="00A91AC9"/>
    <w:rsid w:val="00AA1FF9"/>
    <w:rsid w:val="00AA4297"/>
    <w:rsid w:val="00AB03B8"/>
    <w:rsid w:val="00AB1114"/>
    <w:rsid w:val="00AC0360"/>
    <w:rsid w:val="00AC0B2D"/>
    <w:rsid w:val="00AD2617"/>
    <w:rsid w:val="00AE2DEB"/>
    <w:rsid w:val="00AF1660"/>
    <w:rsid w:val="00AF6931"/>
    <w:rsid w:val="00AF71FC"/>
    <w:rsid w:val="00B025EB"/>
    <w:rsid w:val="00B109A1"/>
    <w:rsid w:val="00B13D62"/>
    <w:rsid w:val="00B32145"/>
    <w:rsid w:val="00B33DE4"/>
    <w:rsid w:val="00B33F88"/>
    <w:rsid w:val="00B3700C"/>
    <w:rsid w:val="00B458AC"/>
    <w:rsid w:val="00B55C73"/>
    <w:rsid w:val="00B61F02"/>
    <w:rsid w:val="00B64DD8"/>
    <w:rsid w:val="00B876BA"/>
    <w:rsid w:val="00B87C76"/>
    <w:rsid w:val="00B96702"/>
    <w:rsid w:val="00B97A02"/>
    <w:rsid w:val="00BA5DA4"/>
    <w:rsid w:val="00BA7257"/>
    <w:rsid w:val="00BA7909"/>
    <w:rsid w:val="00BC0B11"/>
    <w:rsid w:val="00BC3443"/>
    <w:rsid w:val="00BC3A8F"/>
    <w:rsid w:val="00BC7AFB"/>
    <w:rsid w:val="00BD6C4C"/>
    <w:rsid w:val="00BE1857"/>
    <w:rsid w:val="00BE4DB0"/>
    <w:rsid w:val="00BF5024"/>
    <w:rsid w:val="00BF6714"/>
    <w:rsid w:val="00C003D9"/>
    <w:rsid w:val="00C033A8"/>
    <w:rsid w:val="00C05438"/>
    <w:rsid w:val="00C066AB"/>
    <w:rsid w:val="00C1110F"/>
    <w:rsid w:val="00C1288E"/>
    <w:rsid w:val="00C14BBE"/>
    <w:rsid w:val="00C402B0"/>
    <w:rsid w:val="00C4146D"/>
    <w:rsid w:val="00C43A06"/>
    <w:rsid w:val="00C62466"/>
    <w:rsid w:val="00C63930"/>
    <w:rsid w:val="00C63C58"/>
    <w:rsid w:val="00C63E5F"/>
    <w:rsid w:val="00C735FA"/>
    <w:rsid w:val="00C73DEA"/>
    <w:rsid w:val="00C87427"/>
    <w:rsid w:val="00C93ECD"/>
    <w:rsid w:val="00CA5721"/>
    <w:rsid w:val="00CA60DB"/>
    <w:rsid w:val="00CB648E"/>
    <w:rsid w:val="00CC7137"/>
    <w:rsid w:val="00CD5358"/>
    <w:rsid w:val="00CD74B7"/>
    <w:rsid w:val="00CE59E3"/>
    <w:rsid w:val="00CF0E59"/>
    <w:rsid w:val="00CF287F"/>
    <w:rsid w:val="00CF5853"/>
    <w:rsid w:val="00D07ED3"/>
    <w:rsid w:val="00D225ED"/>
    <w:rsid w:val="00D24D39"/>
    <w:rsid w:val="00D33DF7"/>
    <w:rsid w:val="00D346A5"/>
    <w:rsid w:val="00D34986"/>
    <w:rsid w:val="00D40FEB"/>
    <w:rsid w:val="00D414A0"/>
    <w:rsid w:val="00D455DB"/>
    <w:rsid w:val="00D521CB"/>
    <w:rsid w:val="00D5452F"/>
    <w:rsid w:val="00D80A7C"/>
    <w:rsid w:val="00D835E3"/>
    <w:rsid w:val="00D83BA4"/>
    <w:rsid w:val="00D83CFF"/>
    <w:rsid w:val="00D92EB4"/>
    <w:rsid w:val="00D932D8"/>
    <w:rsid w:val="00D938D7"/>
    <w:rsid w:val="00D97DCB"/>
    <w:rsid w:val="00DA1FB4"/>
    <w:rsid w:val="00DA393D"/>
    <w:rsid w:val="00DB0547"/>
    <w:rsid w:val="00DB2DAA"/>
    <w:rsid w:val="00DB7CEF"/>
    <w:rsid w:val="00DC3B15"/>
    <w:rsid w:val="00DC68A8"/>
    <w:rsid w:val="00DD29F2"/>
    <w:rsid w:val="00DD500F"/>
    <w:rsid w:val="00DD59E4"/>
    <w:rsid w:val="00DE4D31"/>
    <w:rsid w:val="00DF0204"/>
    <w:rsid w:val="00DF2D62"/>
    <w:rsid w:val="00DF7E48"/>
    <w:rsid w:val="00E030BC"/>
    <w:rsid w:val="00E0499B"/>
    <w:rsid w:val="00E108C6"/>
    <w:rsid w:val="00E12ADF"/>
    <w:rsid w:val="00E25DC9"/>
    <w:rsid w:val="00E26F0C"/>
    <w:rsid w:val="00E450C6"/>
    <w:rsid w:val="00E46635"/>
    <w:rsid w:val="00E56A92"/>
    <w:rsid w:val="00E608D2"/>
    <w:rsid w:val="00E63338"/>
    <w:rsid w:val="00E71A0B"/>
    <w:rsid w:val="00E7742A"/>
    <w:rsid w:val="00E85C7E"/>
    <w:rsid w:val="00E93A1A"/>
    <w:rsid w:val="00E93FF1"/>
    <w:rsid w:val="00E954C9"/>
    <w:rsid w:val="00E97423"/>
    <w:rsid w:val="00EA78B3"/>
    <w:rsid w:val="00EB272D"/>
    <w:rsid w:val="00EB52C0"/>
    <w:rsid w:val="00EB615E"/>
    <w:rsid w:val="00EC32AE"/>
    <w:rsid w:val="00EC3844"/>
    <w:rsid w:val="00EC40FB"/>
    <w:rsid w:val="00EC7113"/>
    <w:rsid w:val="00ED17E3"/>
    <w:rsid w:val="00ED6CB9"/>
    <w:rsid w:val="00EE0F78"/>
    <w:rsid w:val="00EE24C2"/>
    <w:rsid w:val="00EF04EA"/>
    <w:rsid w:val="00EF434F"/>
    <w:rsid w:val="00F00880"/>
    <w:rsid w:val="00F03389"/>
    <w:rsid w:val="00F033FA"/>
    <w:rsid w:val="00F17A8F"/>
    <w:rsid w:val="00F32421"/>
    <w:rsid w:val="00F36CDD"/>
    <w:rsid w:val="00F37294"/>
    <w:rsid w:val="00F40B6B"/>
    <w:rsid w:val="00F51305"/>
    <w:rsid w:val="00F6310B"/>
    <w:rsid w:val="00F657A9"/>
    <w:rsid w:val="00F70147"/>
    <w:rsid w:val="00F717A4"/>
    <w:rsid w:val="00F8565E"/>
    <w:rsid w:val="00F91BD5"/>
    <w:rsid w:val="00F96832"/>
    <w:rsid w:val="00FA04F0"/>
    <w:rsid w:val="00FA1FC5"/>
    <w:rsid w:val="00FA5F2B"/>
    <w:rsid w:val="00FB7B8A"/>
    <w:rsid w:val="00FC2CE0"/>
    <w:rsid w:val="00FC3120"/>
    <w:rsid w:val="00FE0C40"/>
    <w:rsid w:val="00FE35CF"/>
    <w:rsid w:val="00FF0414"/>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B37777D"/>
  <w15:docId w15:val="{412C3715-94C7-4A78-8348-98ABB913F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19250F"/>
    <w:pPr>
      <w:spacing w:after="240" w:line="300" w:lineRule="auto"/>
      <w:jc w:val="both"/>
    </w:pPr>
    <w:rPr>
      <w:rFonts w:ascii="Arial" w:eastAsia="Calibri" w:hAnsi="Arial" w:cs="Times New Roman"/>
      <w:sz w:val="20"/>
      <w:szCs w:val="24"/>
    </w:rPr>
  </w:style>
  <w:style w:type="paragraph" w:styleId="Heading1">
    <w:name w:val="heading 1"/>
    <w:next w:val="ResetPara"/>
    <w:link w:val="Heading1Char"/>
    <w:uiPriority w:val="6"/>
    <w:qFormat/>
    <w:rsid w:val="006B6119"/>
    <w:pPr>
      <w:keepNext/>
      <w:keepLines/>
      <w:numPr>
        <w:numId w:val="6"/>
      </w:numPr>
      <w:spacing w:before="240" w:after="40"/>
      <w:outlineLvl w:val="0"/>
    </w:pPr>
    <w:rPr>
      <w:rFonts w:asciiTheme="majorHAnsi" w:eastAsiaTheme="majorEastAsia" w:hAnsiTheme="majorHAnsi" w:cstheme="majorBidi"/>
      <w:b/>
      <w:caps/>
      <w:color w:val="1E4164" w:themeColor="accent6"/>
      <w:sz w:val="24"/>
      <w:szCs w:val="32"/>
    </w:rPr>
  </w:style>
  <w:style w:type="paragraph" w:styleId="Heading2">
    <w:name w:val="heading 2"/>
    <w:next w:val="ResetPara"/>
    <w:link w:val="Heading2Char"/>
    <w:uiPriority w:val="6"/>
    <w:unhideWhenUsed/>
    <w:qFormat/>
    <w:rsid w:val="006B6119"/>
    <w:pPr>
      <w:keepNext/>
      <w:keepLines/>
      <w:numPr>
        <w:ilvl w:val="1"/>
        <w:numId w:val="6"/>
      </w:numPr>
      <w:spacing w:before="240" w:after="40"/>
      <w:outlineLvl w:val="1"/>
    </w:pPr>
    <w:rPr>
      <w:rFonts w:asciiTheme="majorHAnsi" w:eastAsiaTheme="majorEastAsia" w:hAnsiTheme="majorHAnsi" w:cstheme="majorBidi"/>
      <w:b/>
      <w:color w:val="1E4164" w:themeColor="accent6"/>
      <w:sz w:val="24"/>
      <w:szCs w:val="26"/>
    </w:rPr>
  </w:style>
  <w:style w:type="paragraph" w:styleId="Heading3">
    <w:name w:val="heading 3"/>
    <w:next w:val="ResetPara"/>
    <w:link w:val="Heading3Char"/>
    <w:uiPriority w:val="6"/>
    <w:unhideWhenUsed/>
    <w:qFormat/>
    <w:rsid w:val="006B6119"/>
    <w:pPr>
      <w:keepNext/>
      <w:keepLines/>
      <w:numPr>
        <w:ilvl w:val="2"/>
        <w:numId w:val="6"/>
      </w:numPr>
      <w:spacing w:before="240" w:after="40"/>
      <w:outlineLvl w:val="2"/>
    </w:pPr>
    <w:rPr>
      <w:rFonts w:asciiTheme="majorHAnsi" w:eastAsiaTheme="majorEastAsia" w:hAnsiTheme="majorHAnsi" w:cstheme="majorBidi"/>
      <w:b/>
      <w:color w:val="1E4164" w:themeColor="accent6"/>
      <w:sz w:val="20"/>
      <w:szCs w:val="24"/>
    </w:rPr>
  </w:style>
  <w:style w:type="paragraph" w:styleId="Heading4">
    <w:name w:val="heading 4"/>
    <w:basedOn w:val="Normal"/>
    <w:next w:val="BodyText"/>
    <w:link w:val="Heading4Char"/>
    <w:uiPriority w:val="6"/>
    <w:qFormat/>
    <w:rsid w:val="006B6119"/>
    <w:pPr>
      <w:keepNext/>
      <w:keepLines/>
      <w:spacing w:before="240" w:after="60" w:line="264" w:lineRule="auto"/>
      <w:jc w:val="left"/>
      <w:outlineLvl w:val="3"/>
    </w:pPr>
    <w:rPr>
      <w:rFonts w:asciiTheme="majorHAnsi" w:eastAsiaTheme="majorEastAsia" w:hAnsiTheme="majorHAnsi" w:cstheme="majorBidi"/>
      <w:b/>
      <w:bCs/>
      <w:iCs/>
      <w:color w:val="000000" w:themeColor="text1"/>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6B611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6B611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6B611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250F"/>
    <w:pPr>
      <w:tabs>
        <w:tab w:val="left" w:pos="896"/>
      </w:tabs>
      <w:spacing w:after="0" w:line="240" w:lineRule="auto"/>
      <w:ind w:right="1671"/>
      <w:jc w:val="left"/>
    </w:pPr>
    <w:rPr>
      <w:bCs/>
      <w:caps/>
      <w:noProof/>
      <w:color w:val="194164"/>
      <w:sz w:val="16"/>
      <w:lang w:eastAsia="en-AU"/>
    </w:rPr>
  </w:style>
  <w:style w:type="character" w:customStyle="1" w:styleId="HeaderChar">
    <w:name w:val="Header Char"/>
    <w:basedOn w:val="DefaultParagraphFont"/>
    <w:link w:val="Header"/>
    <w:uiPriority w:val="99"/>
    <w:rsid w:val="0019250F"/>
    <w:rPr>
      <w:rFonts w:ascii="Arial" w:eastAsia="Calibri" w:hAnsi="Arial" w:cs="Times New Roman"/>
      <w:bCs/>
      <w:caps/>
      <w:noProof/>
      <w:color w:val="194164"/>
      <w:sz w:val="16"/>
      <w:szCs w:val="24"/>
      <w:lang w:eastAsia="en-AU"/>
    </w:rPr>
  </w:style>
  <w:style w:type="paragraph" w:styleId="Footer">
    <w:name w:val="footer"/>
    <w:basedOn w:val="Normal"/>
    <w:link w:val="FooterChar"/>
    <w:uiPriority w:val="99"/>
    <w:rsid w:val="0019250F"/>
    <w:pPr>
      <w:tabs>
        <w:tab w:val="right" w:pos="8239"/>
        <w:tab w:val="right" w:pos="9185"/>
      </w:tabs>
      <w:spacing w:after="0" w:line="240" w:lineRule="auto"/>
      <w:jc w:val="left"/>
    </w:pPr>
    <w:rPr>
      <w:color w:val="1E4164" w:themeColor="accent6"/>
      <w:sz w:val="16"/>
    </w:rPr>
  </w:style>
  <w:style w:type="character" w:customStyle="1" w:styleId="FooterChar">
    <w:name w:val="Footer Char"/>
    <w:basedOn w:val="DefaultParagraphFont"/>
    <w:link w:val="Footer"/>
    <w:uiPriority w:val="99"/>
    <w:rsid w:val="0019250F"/>
    <w:rPr>
      <w:rFonts w:ascii="Arial" w:eastAsia="Calibri" w:hAnsi="Arial" w:cs="Times New Roman"/>
      <w:color w:val="1E4164" w:themeColor="accent6"/>
      <w:sz w:val="16"/>
      <w:szCs w:val="24"/>
    </w:rPr>
  </w:style>
  <w:style w:type="character" w:customStyle="1" w:styleId="Heading1Char">
    <w:name w:val="Heading 1 Char"/>
    <w:basedOn w:val="DefaultParagraphFont"/>
    <w:link w:val="Heading1"/>
    <w:uiPriority w:val="6"/>
    <w:rsid w:val="006B6119"/>
    <w:rPr>
      <w:rFonts w:asciiTheme="majorHAnsi" w:eastAsiaTheme="majorEastAsia" w:hAnsiTheme="majorHAnsi" w:cstheme="majorBidi"/>
      <w:b/>
      <w:caps/>
      <w:color w:val="1E4164" w:themeColor="accent6"/>
      <w:sz w:val="24"/>
      <w:szCs w:val="32"/>
    </w:rPr>
  </w:style>
  <w:style w:type="paragraph" w:styleId="BodyText">
    <w:name w:val="Body Text"/>
    <w:basedOn w:val="Normal"/>
    <w:link w:val="BodyTextChar"/>
    <w:qFormat/>
    <w:rsid w:val="006B6119"/>
    <w:pPr>
      <w:spacing w:after="120" w:line="240" w:lineRule="auto"/>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6B6119"/>
    <w:rPr>
      <w:sz w:val="20"/>
    </w:rPr>
  </w:style>
  <w:style w:type="paragraph" w:customStyle="1" w:styleId="AppendixHeading1">
    <w:name w:val="Appendix Heading 1"/>
    <w:basedOn w:val="Heading1"/>
    <w:next w:val="ResetPara"/>
    <w:uiPriority w:val="99"/>
    <w:qFormat/>
    <w:rsid w:val="00E450C6"/>
    <w:pPr>
      <w:pageBreakBefore/>
      <w:numPr>
        <w:numId w:val="2"/>
      </w:numPr>
      <w:tabs>
        <w:tab w:val="left" w:pos="1710"/>
      </w:tabs>
    </w:pPr>
  </w:style>
  <w:style w:type="character" w:customStyle="1" w:styleId="Heading2Char">
    <w:name w:val="Heading 2 Char"/>
    <w:basedOn w:val="DefaultParagraphFont"/>
    <w:link w:val="Heading2"/>
    <w:uiPriority w:val="6"/>
    <w:rsid w:val="006B6119"/>
    <w:rPr>
      <w:rFonts w:asciiTheme="majorHAnsi" w:eastAsiaTheme="majorEastAsia" w:hAnsiTheme="majorHAnsi" w:cstheme="majorBidi"/>
      <w:b/>
      <w:color w:val="1E4164" w:themeColor="accent6"/>
      <w:sz w:val="24"/>
      <w:szCs w:val="26"/>
    </w:rPr>
  </w:style>
  <w:style w:type="paragraph" w:customStyle="1" w:styleId="AppendixHeading2">
    <w:name w:val="Appendix Heading 2"/>
    <w:basedOn w:val="Heading2"/>
    <w:next w:val="ResetPara"/>
    <w:uiPriority w:val="99"/>
    <w:qFormat/>
    <w:rsid w:val="006B6119"/>
    <w:pPr>
      <w:numPr>
        <w:numId w:val="2"/>
      </w:numPr>
    </w:pPr>
    <w:rPr>
      <w:noProof/>
      <w:lang w:eastAsia="en-AU"/>
    </w:rPr>
  </w:style>
  <w:style w:type="character" w:customStyle="1" w:styleId="Heading3Char">
    <w:name w:val="Heading 3 Char"/>
    <w:basedOn w:val="DefaultParagraphFont"/>
    <w:link w:val="Heading3"/>
    <w:uiPriority w:val="6"/>
    <w:rsid w:val="006B6119"/>
    <w:rPr>
      <w:rFonts w:asciiTheme="majorHAnsi" w:eastAsiaTheme="majorEastAsia" w:hAnsiTheme="majorHAnsi" w:cstheme="majorBidi"/>
      <w:b/>
      <w:color w:val="1E4164" w:themeColor="accent6"/>
      <w:sz w:val="20"/>
      <w:szCs w:val="24"/>
    </w:rPr>
  </w:style>
  <w:style w:type="paragraph" w:customStyle="1" w:styleId="AppendixHeading3">
    <w:name w:val="Appendix Heading 3"/>
    <w:basedOn w:val="Normal"/>
    <w:next w:val="ResetPara"/>
    <w:uiPriority w:val="99"/>
    <w:qFormat/>
    <w:rsid w:val="006B6119"/>
    <w:pPr>
      <w:keepNext/>
      <w:keepLines/>
      <w:numPr>
        <w:ilvl w:val="2"/>
        <w:numId w:val="2"/>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6"/>
    <w:rsid w:val="006B6119"/>
    <w:rPr>
      <w:rFonts w:asciiTheme="majorHAnsi" w:eastAsiaTheme="majorEastAsia" w:hAnsiTheme="majorHAnsi" w:cstheme="majorBidi"/>
      <w:b/>
      <w:bCs/>
      <w:iCs/>
      <w:color w:val="000000" w:themeColor="text1"/>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6B6119"/>
    <w:pPr>
      <w:numPr>
        <w:numId w:val="5"/>
      </w:numPr>
      <w:spacing w:after="60" w:line="264" w:lineRule="auto"/>
      <w:jc w:val="left"/>
    </w:pPr>
  </w:style>
  <w:style w:type="paragraph" w:customStyle="1" w:styleId="CaptionFigure">
    <w:name w:val="Caption Figure"/>
    <w:basedOn w:val="Caption"/>
    <w:next w:val="Figure"/>
    <w:uiPriority w:val="7"/>
    <w:qFormat/>
    <w:rsid w:val="006B6119"/>
    <w:pPr>
      <w:numPr>
        <w:numId w:val="4"/>
      </w:numPr>
      <w:spacing w:after="60" w:line="264" w:lineRule="auto"/>
      <w:jc w:val="left"/>
    </w:pPr>
  </w:style>
  <w:style w:type="table" w:styleId="TableGrid">
    <w:name w:val="Table Grid"/>
    <w:aliases w:val="AEMO"/>
    <w:basedOn w:val="TableNormal"/>
    <w:uiPriority w:val="1"/>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semiHidden/>
    <w:unhideWhenUsed/>
    <w:qFormat/>
    <w:rsid w:val="006B611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6B6119"/>
    <w:pPr>
      <w:spacing w:after="120"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pPr>
      <w:spacing w:after="120"/>
    </w:pPr>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sz w:val="20"/>
    </w:rPr>
  </w:style>
  <w:style w:type="paragraph" w:styleId="BodyTextIndent">
    <w:name w:val="Body Text Indent"/>
    <w:basedOn w:val="Normal"/>
    <w:link w:val="BodyTextIndentChar"/>
    <w:uiPriority w:val="99"/>
    <w:semiHidden/>
    <w:unhideWhenUsed/>
    <w:rsid w:val="006B6119"/>
    <w:pPr>
      <w:spacing w:after="120"/>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qFormat/>
    <w:rsid w:val="006B6119"/>
    <w:pPr>
      <w:keepNext/>
      <w:spacing w:before="240" w:after="40" w:line="240" w:lineRule="auto"/>
    </w:pPr>
    <w:rPr>
      <w:b/>
      <w:bCs/>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rsid w:val="006B6119"/>
    <w:rPr>
      <w:vertAlign w:val="superscript"/>
    </w:rPr>
  </w:style>
  <w:style w:type="paragraph" w:styleId="FootnoteText">
    <w:name w:val="footnote text"/>
    <w:basedOn w:val="Normal"/>
    <w:link w:val="FootnoteTextChar"/>
    <w:uiPriority w:val="29"/>
    <w:rsid w:val="0019250F"/>
    <w:pPr>
      <w:tabs>
        <w:tab w:val="left" w:pos="180"/>
      </w:tabs>
      <w:spacing w:after="0" w:line="240" w:lineRule="auto"/>
      <w:ind w:left="180" w:hanging="180"/>
      <w:jc w:val="left"/>
    </w:pPr>
    <w:rPr>
      <w:rFonts w:asciiTheme="minorHAnsi" w:hAnsiTheme="minorHAnsi"/>
      <w:sz w:val="16"/>
      <w:szCs w:val="20"/>
    </w:rPr>
  </w:style>
  <w:style w:type="character" w:customStyle="1" w:styleId="FootnoteTextChar">
    <w:name w:val="Footnote Text Char"/>
    <w:basedOn w:val="DefaultParagraphFont"/>
    <w:link w:val="FootnoteText"/>
    <w:uiPriority w:val="29"/>
    <w:rsid w:val="0019250F"/>
    <w:rPr>
      <w:rFonts w:eastAsia="Calibri" w:cs="Times New Roman"/>
      <w:sz w:val="16"/>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6B611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6B61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6B611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semiHidden/>
    <w:unhideWhenUsed/>
    <w:rsid w:val="006B6119"/>
    <w:pPr>
      <w:spacing w:after="0" w:line="240" w:lineRule="auto"/>
    </w:pPr>
    <w:rPr>
      <w:i/>
      <w:iCs/>
    </w:rPr>
  </w:style>
  <w:style w:type="character" w:customStyle="1" w:styleId="HTMLAddressChar">
    <w:name w:val="HTML Address Char"/>
    <w:basedOn w:val="DefaultParagraphFont"/>
    <w:link w:val="HTMLAddress"/>
    <w:uiPriority w:val="99"/>
    <w:semiHidden/>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6119"/>
    <w:rPr>
      <w:rFonts w:ascii="Consolas" w:eastAsia="Calibri" w:hAnsi="Consolas" w:cs="Times New Roman"/>
      <w:sz w:val="20"/>
      <w:szCs w:val="20"/>
    </w:rPr>
  </w:style>
  <w:style w:type="character" w:styleId="Hyperlink">
    <w:name w:val="Hyperlink"/>
    <w:basedOn w:val="BodyTextChar"/>
    <w:uiPriority w:val="99"/>
    <w:rsid w:val="006B6119"/>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6B611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6B6119"/>
    <w:rPr>
      <w:rFonts w:ascii="Arial" w:eastAsia="Calibri" w:hAnsi="Arial" w:cs="Times New Roman"/>
      <w:b/>
      <w:bCs/>
      <w:i/>
      <w:iCs/>
      <w:color w:val="FFC222"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aliases w:val="List Bullet - AEMO"/>
    <w:basedOn w:val="BodyText"/>
    <w:uiPriority w:val="5"/>
    <w:qFormat/>
    <w:rsid w:val="006B6119"/>
    <w:pPr>
      <w:numPr>
        <w:numId w:val="9"/>
      </w:numPr>
      <w:spacing w:after="60"/>
    </w:pPr>
  </w:style>
  <w:style w:type="paragraph" w:styleId="ListBullet2">
    <w:name w:val="List Bullet 2"/>
    <w:basedOn w:val="Normal"/>
    <w:uiPriority w:val="5"/>
    <w:qFormat/>
    <w:rsid w:val="006B6119"/>
    <w:pPr>
      <w:numPr>
        <w:ilvl w:val="1"/>
        <w:numId w:val="9"/>
      </w:numPr>
      <w:spacing w:after="60" w:line="260" w:lineRule="atLeast"/>
      <w:jc w:val="left"/>
    </w:pPr>
    <w:rPr>
      <w:rFonts w:asciiTheme="minorHAnsi" w:hAnsiTheme="minorHAnsi"/>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semiHidden/>
    <w:rsid w:val="006B6119"/>
    <w:pPr>
      <w:spacing w:after="120"/>
      <w:ind w:left="1132"/>
      <w:contextualSpacing/>
    </w:pPr>
  </w:style>
  <w:style w:type="paragraph" w:styleId="ListContinue5">
    <w:name w:val="List Continue 5"/>
    <w:basedOn w:val="Normal"/>
    <w:uiPriority w:val="99"/>
    <w:semiHidden/>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uiPriority w:val="34"/>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6B6119"/>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6B6119"/>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semiHidden/>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19250F"/>
    <w:pPr>
      <w:spacing w:before="40" w:after="40"/>
    </w:pPr>
    <w:rPr>
      <w:sz w:val="18"/>
      <w:szCs w:val="18"/>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basedOn w:val="TableText"/>
    <w:uiPriority w:val="5"/>
    <w:qFormat/>
    <w:rsid w:val="0019250F"/>
    <w:pPr>
      <w:spacing w:after="240"/>
      <w:contextualSpacing/>
    </w:pPr>
    <w:rPr>
      <w:sz w:val="16"/>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uiPriority w:val="99"/>
    <w:semiHidden/>
    <w:rsid w:val="006B611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basedOn w:val="BodyText"/>
    <w:uiPriority w:val="5"/>
    <w:qFormat/>
    <w:rsid w:val="004954FD"/>
    <w:pPr>
      <w:keepNext/>
      <w:spacing w:before="60" w:after="60"/>
    </w:pPr>
    <w:rPr>
      <w:color w:val="000000"/>
      <w:sz w:val="18"/>
      <w:szCs w:val="18"/>
      <w:lang w:val="en-US"/>
    </w:rPr>
  </w:style>
  <w:style w:type="paragraph" w:styleId="Title">
    <w:name w:val="Title"/>
    <w:basedOn w:val="Normal"/>
    <w:next w:val="Normal"/>
    <w:link w:val="TitleChar"/>
    <w:uiPriority w:val="10"/>
    <w:qFormat/>
    <w:rsid w:val="006B611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10"/>
    <w:rsid w:val="006B6119"/>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6B6119"/>
    <w:pPr>
      <w:keepNext/>
      <w:keepLines/>
      <w:spacing w:before="120"/>
      <w:jc w:val="left"/>
    </w:pPr>
    <w:rPr>
      <w:rFonts w:asciiTheme="majorHAnsi" w:hAnsiTheme="majorHAnsi"/>
      <w:b/>
      <w:caps/>
      <w:color w:val="1E4164" w:themeColor="accent6"/>
      <w:sz w:val="24"/>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6B6119"/>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6B6119"/>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6B6119"/>
    <w:pPr>
      <w:tabs>
        <w:tab w:val="right" w:leader="do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6B6119"/>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19250F"/>
    <w:pPr>
      <w:numPr>
        <w:numId w:val="15"/>
      </w:numPr>
      <w:tabs>
        <w:tab w:val="left" w:pos="170"/>
      </w:tabs>
      <w:spacing w:before="40" w:after="40" w:line="240" w:lineRule="auto"/>
    </w:pPr>
    <w:rPr>
      <w:rFonts w:ascii="Arial" w:eastAsia="Calibri" w:hAnsi="Arial" w:cs="Times New Roman"/>
      <w:sz w:val="18"/>
      <w:szCs w:val="24"/>
      <w:lang w:eastAsia="en-AU"/>
    </w:rPr>
  </w:style>
  <w:style w:type="table" w:customStyle="1" w:styleId="AEMOTable">
    <w:name w:val="AEMO Table"/>
    <w:basedOn w:val="TableNormal"/>
    <w:uiPriority w:val="99"/>
    <w:rsid w:val="006B61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12"/>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12"/>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12"/>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6B6119"/>
    <w:pPr>
      <w:numPr>
        <w:ilvl w:val="1"/>
        <w:numId w:val="13"/>
      </w:numPr>
      <w:outlineLvl w:val="0"/>
    </w:pPr>
    <w:rPr>
      <w:rFonts w:asciiTheme="majorHAnsi" w:hAnsiTheme="majorHAnsi"/>
      <w:b/>
      <w:color w:val="1E4164" w:themeColor="accent6"/>
      <w:sz w:val="24"/>
    </w:rPr>
  </w:style>
  <w:style w:type="paragraph" w:customStyle="1" w:styleId="SchedHdg2">
    <w:name w:val="SchedHdg 2"/>
    <w:next w:val="ResetPara"/>
    <w:uiPriority w:val="8"/>
    <w:qFormat/>
    <w:rsid w:val="006B6119"/>
    <w:pPr>
      <w:numPr>
        <w:ilvl w:val="2"/>
        <w:numId w:val="13"/>
      </w:numPr>
      <w:outlineLvl w:val="1"/>
    </w:pPr>
    <w:rPr>
      <w:rFonts w:asciiTheme="majorHAnsi" w:hAnsiTheme="majorHAnsi"/>
      <w:b/>
      <w:color w:val="1E4164" w:themeColor="accent6"/>
      <w:sz w:val="20"/>
    </w:rPr>
  </w:style>
  <w:style w:type="paragraph" w:customStyle="1" w:styleId="ScheduleSection">
    <w:name w:val="ScheduleSection"/>
    <w:basedOn w:val="Normal"/>
    <w:next w:val="ResetPara"/>
    <w:uiPriority w:val="8"/>
    <w:qFormat/>
    <w:rsid w:val="006B6119"/>
    <w:pPr>
      <w:numPr>
        <w:numId w:val="13"/>
      </w:numPr>
      <w:spacing w:after="120" w:line="240" w:lineRule="auto"/>
      <w:jc w:val="left"/>
      <w:outlineLvl w:val="0"/>
    </w:pPr>
    <w:rPr>
      <w:rFonts w:asciiTheme="majorHAnsi" w:eastAsiaTheme="minorHAnsi" w:hAnsiTheme="majorHAnsi" w:cstheme="minorBidi"/>
      <w:b/>
      <w:caps/>
      <w:color w:val="1E4164" w:themeColor="accent6"/>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 w:type="table" w:customStyle="1" w:styleId="AEMOTable1">
    <w:name w:val="AEMO Table1"/>
    <w:basedOn w:val="TableNormal"/>
    <w:uiPriority w:val="99"/>
    <w:rsid w:val="006049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table" w:customStyle="1" w:styleId="AEMOTable2">
    <w:name w:val="AEMO Table2"/>
    <w:basedOn w:val="TableNormal"/>
    <w:uiPriority w:val="99"/>
    <w:rsid w:val="00C14BBE"/>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table" w:customStyle="1" w:styleId="AEMOTable3">
    <w:name w:val="AEMO Table3"/>
    <w:basedOn w:val="TableNormal"/>
    <w:uiPriority w:val="99"/>
    <w:rsid w:val="00415723"/>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table" w:customStyle="1" w:styleId="AEMOTable4">
    <w:name w:val="AEMO Table4"/>
    <w:basedOn w:val="TableNormal"/>
    <w:uiPriority w:val="99"/>
    <w:rsid w:val="00A7158E"/>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table" w:customStyle="1" w:styleId="AEMOTable5">
    <w:name w:val="AEMO Table5"/>
    <w:basedOn w:val="TableNormal"/>
    <w:uiPriority w:val="99"/>
    <w:rsid w:val="00D83CFF"/>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styleId="Revision">
    <w:name w:val="Revision"/>
    <w:hidden/>
    <w:uiPriority w:val="99"/>
    <w:semiHidden/>
    <w:rsid w:val="007624D3"/>
    <w:pPr>
      <w:spacing w:after="0" w:line="240" w:lineRule="auto"/>
    </w:pPr>
    <w:rPr>
      <w:rFonts w:ascii="Arial" w:eastAsia="Calibri"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aemo.com.au/-/media/Files/PDF/0160-0049-pdf.pdf"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0.emf"/><Relationship Id="rId36" Type="http://schemas.openxmlformats.org/officeDocument/2006/relationships/header" Target="header10.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info@aemo.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ules%20and%20Procedures\External%20Procedures%20Template_2017.dotx" TargetMode="External"/></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409ac0fb-07cb-4169-8a26-def2760b5502" ContentTypeId="0x0101009BE89D58CAF0934CA32A20BCFFD353DC"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AEMODocument" ma:contentTypeID="0x0101009BE89D58CAF0934CA32A20BCFFD353DC001FB769A4C4523C45B5EAA74CEFA505B8" ma:contentTypeVersion="35" ma:contentTypeDescription="" ma:contentTypeScope="" ma:versionID="ba64b14908709ce2fee6ae61cd156a0e">
  <xsd:schema xmlns:xsd="http://www.w3.org/2001/XMLSchema" xmlns:xs="http://www.w3.org/2001/XMLSchema" xmlns:p="http://schemas.microsoft.com/office/2006/metadata/properties" xmlns:ns2="a14523ce-dede-483e-883a-2d83261080bd" targetNamespace="http://schemas.microsoft.com/office/2006/metadata/properties" ma:root="true" ma:fieldsID="a4d7a4fe3a9af82a65451be8539d546b"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f2baf17d-91b1-421c-aaef-0c2c810bb868}" ma:internalName="TaxCatchAll" ma:showField="CatchAllData"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2baf17d-91b1-421c-aaef-0c2c810bb868}" ma:internalName="TaxCatchAllLabel" ma:readOnly="true" ma:showField="CatchAllDataLabel"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5;#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Louise Thomson</DisplayName>
        <AccountId>98</AccountId>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35068210-b48f-4046-9f07-b4a9fb08589f</TermId>
        </TermInfo>
      </Terms>
    </AEMODocumentTypeTaxHTField0>
    <AEMOKeywordsTaxHTField0 xmlns="a14523ce-dede-483e-883a-2d83261080bd">
      <Terms xmlns="http://schemas.microsoft.com/office/infopath/2007/PartnerControls"/>
    </AEMOKeywordsTaxHTField0>
    <TaxCatchAll xmlns="a14523ce-dede-483e-883a-2d83261080bd">
      <Value>4</Value>
    </TaxCatchAll>
    <AEMODescription xmlns="a14523ce-dede-483e-883a-2d83261080bd">&lt;div class="ExternalClassD1411938EF2C469C8556B3A7CA3D1040"&gt;&lt;p&gt;Former Causer Pays Procedure​&lt;/p&gt;&lt;/div&gt;</AEMODescription>
    <_dlc_DocId xmlns="a14523ce-dede-483e-883a-2d83261080bd">MARKETOPPERF-15-3587</_dlc_DocId>
    <_dlc_DocIdUrl xmlns="a14523ce-dede-483e-883a-2d83261080bd">
      <Url>http://sharedocs/sites/mop/_layouts/15/DocIdRedir.aspx?ID=MARKETOPPERF-15-3587</Url>
      <Description>MARKETOPPERF-15-3587</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9458-ADC1-432C-9DF7-36C9829D8B80}">
  <ds:schemaRefs>
    <ds:schemaRef ds:uri="Microsoft.SharePoint.Taxonomy.ContentTypeSync"/>
  </ds:schemaRefs>
</ds:datastoreItem>
</file>

<file path=customXml/itemProps2.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3.xml><?xml version="1.0" encoding="utf-8"?>
<ds:datastoreItem xmlns:ds="http://schemas.openxmlformats.org/officeDocument/2006/customXml" ds:itemID="{9203B086-CFDB-48D2-91C1-FA0F3B38C44C}">
  <ds:schemaRefs>
    <ds:schemaRef ds:uri="http://schemas.microsoft.com/office/2006/metadata/customXsn"/>
  </ds:schemaRefs>
</ds:datastoreItem>
</file>

<file path=customXml/itemProps4.xml><?xml version="1.0" encoding="utf-8"?>
<ds:datastoreItem xmlns:ds="http://schemas.openxmlformats.org/officeDocument/2006/customXml" ds:itemID="{9696CA7F-0715-4622-A761-911946CA247B}">
  <ds:schemaRefs>
    <ds:schemaRef ds:uri="http://schemas.microsoft.com/sharepoint/events"/>
  </ds:schemaRefs>
</ds:datastoreItem>
</file>

<file path=customXml/itemProps5.xml><?xml version="1.0" encoding="utf-8"?>
<ds:datastoreItem xmlns:ds="http://schemas.openxmlformats.org/officeDocument/2006/customXml" ds:itemID="{007C5D53-3A6B-478E-A9EC-2A51B7118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1633BED-5CCB-4E16-9F2B-A8AC0A917E8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14523ce-dede-483e-883a-2d83261080bd"/>
    <ds:schemaRef ds:uri="http://schemas.microsoft.com/office/2006/documentManagement/types"/>
    <ds:schemaRef ds:uri="http://www.w3.org/XML/1998/namespace"/>
    <ds:schemaRef ds:uri="http://purl.org/dc/dcmitype/"/>
  </ds:schemaRefs>
</ds:datastoreItem>
</file>

<file path=customXml/itemProps7.xml><?xml version="1.0" encoding="utf-8"?>
<ds:datastoreItem xmlns:ds="http://schemas.openxmlformats.org/officeDocument/2006/customXml" ds:itemID="{B27FD4FF-FF62-4334-8A02-C3E27641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Procedures Template_2017</Template>
  <TotalTime>2</TotalTime>
  <Pages>24</Pages>
  <Words>7699</Words>
  <Characters>43888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Contribution Factors Procedure 2018</vt:lpstr>
    </vt:vector>
  </TitlesOfParts>
  <Company/>
  <LinksUpToDate>false</LinksUpToDate>
  <CharactersWithSpaces>51485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Factors Procedure 2018</dc:title>
  <dc:creator>Louise Thomson</dc:creator>
  <cp:lastModifiedBy>Felicity Bodger</cp:lastModifiedBy>
  <cp:revision>2</cp:revision>
  <cp:lastPrinted>2018-03-15T22:38:00Z</cp:lastPrinted>
  <dcterms:created xsi:type="dcterms:W3CDTF">2018-04-06T03:06:00Z</dcterms:created>
  <dcterms:modified xsi:type="dcterms:W3CDTF">2018-04-06T03:06:00Z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0x0101009BE89D58CAF0934CA32A20BCFFD353DC001FB769A4C4523C45B5EAA74CEFA505B8</vt:lpwstr>
  </property>
  <property fmtid="{D5CDD505-2E9C-101B-9397-08002B2CF9AE}" pid="3" name="_dlc_DocIdItemGuid">
    <vt:lpwstr>755b42a0-30c2-4551-98f4-2d9a3e4c1221</vt:lpwstr>
  </property>
  <property fmtid="{D5CDD505-2E9C-101B-9397-08002B2CF9AE}" pid="4" name="AEMODocumentType">
    <vt:lpwstr>4;#Policies and Procedures|35068210-b48f-4046-9f07-b4a9fb08589f</vt:lpwstr>
  </property>
  <property fmtid="{D5CDD505-2E9C-101B-9397-08002B2CF9AE}" pid="5" name="AEMOKeywords0">
    <vt:lpwstr/>
  </property>
  <property fmtid="{D5CDD505-2E9C-101B-9397-08002B2CF9AE}" pid="6" name="Order">
    <vt:r8>17300</vt:r8>
  </property>
  <property fmtid="{D5CDD505-2E9C-101B-9397-08002B2CF9AE}" pid="7" name="AEMOKeywords">
    <vt:lpwstr/>
  </property>
</Properties>
</file>