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73F1C" w14:textId="77777777" w:rsidR="00170BFB" w:rsidRDefault="00170A6F" w:rsidP="00170BFB">
      <w:pPr>
        <w:pStyle w:val="Heading1"/>
        <w:numPr>
          <w:ilvl w:val="0"/>
          <w:numId w:val="0"/>
        </w:numPr>
      </w:pPr>
      <w:r>
        <w:t>RESPONSE TO CONSULTATION</w:t>
      </w:r>
      <w:r w:rsidR="001E27FF">
        <w:t xml:space="preserve"> PAPER</w:t>
      </w:r>
    </w:p>
    <w:tbl>
      <w:tblPr>
        <w:tblStyle w:val="TableGrid"/>
        <w:tblW w:w="0" w:type="auto"/>
        <w:tblLook w:val="04A0" w:firstRow="1" w:lastRow="0" w:firstColumn="1" w:lastColumn="0" w:noHBand="0" w:noVBand="1"/>
      </w:tblPr>
      <w:tblGrid>
        <w:gridCol w:w="3189"/>
        <w:gridCol w:w="5470"/>
      </w:tblGrid>
      <w:tr w:rsidR="001E27FF" w:rsidRPr="00575861" w14:paraId="60173F20" w14:textId="77777777" w:rsidTr="00C17EE3">
        <w:tc>
          <w:tcPr>
            <w:tcW w:w="3189" w:type="dxa"/>
          </w:tcPr>
          <w:p w14:paraId="60173F1E" w14:textId="77777777" w:rsidR="001E27FF" w:rsidRPr="00575861" w:rsidRDefault="001E27FF" w:rsidP="00170A6F">
            <w:pPr>
              <w:pStyle w:val="BodyText1"/>
              <w:numPr>
                <w:ilvl w:val="0"/>
                <w:numId w:val="0"/>
              </w:numPr>
              <w:rPr>
                <w:b/>
                <w:szCs w:val="24"/>
              </w:rPr>
            </w:pPr>
            <w:r w:rsidRPr="00575861">
              <w:rPr>
                <w:b/>
                <w:szCs w:val="24"/>
              </w:rPr>
              <w:t>Consultation topic:</w:t>
            </w:r>
          </w:p>
        </w:tc>
        <w:tc>
          <w:tcPr>
            <w:tcW w:w="5470" w:type="dxa"/>
          </w:tcPr>
          <w:p w14:paraId="2BFBCB06" w14:textId="0E41A643" w:rsidR="00C17EE3" w:rsidRPr="00C17EE3" w:rsidRDefault="00C17EE3" w:rsidP="00C17EE3">
            <w:pPr>
              <w:pStyle w:val="BodyText1"/>
              <w:numPr>
                <w:ilvl w:val="0"/>
                <w:numId w:val="0"/>
              </w:numPr>
              <w:rPr>
                <w:szCs w:val="24"/>
              </w:rPr>
            </w:pPr>
            <w:r w:rsidRPr="00C17EE3">
              <w:rPr>
                <w:szCs w:val="24"/>
              </w:rPr>
              <w:t>OPEN ENERGY</w:t>
            </w:r>
            <w:r>
              <w:rPr>
                <w:szCs w:val="24"/>
              </w:rPr>
              <w:t xml:space="preserve"> </w:t>
            </w:r>
            <w:r w:rsidRPr="00C17EE3">
              <w:rPr>
                <w:szCs w:val="24"/>
              </w:rPr>
              <w:t>NETWORKS</w:t>
            </w:r>
          </w:p>
          <w:p w14:paraId="75A87008" w14:textId="77777777" w:rsidR="00C17EE3" w:rsidRPr="00C17EE3" w:rsidRDefault="00C17EE3" w:rsidP="00C17EE3">
            <w:pPr>
              <w:pStyle w:val="BodyText1"/>
              <w:numPr>
                <w:ilvl w:val="0"/>
                <w:numId w:val="0"/>
              </w:numPr>
              <w:rPr>
                <w:szCs w:val="24"/>
              </w:rPr>
            </w:pPr>
            <w:r w:rsidRPr="00C17EE3">
              <w:rPr>
                <w:szCs w:val="24"/>
              </w:rPr>
              <w:t>A Joint AEMO and Energy Networks Australia Initiative</w:t>
            </w:r>
          </w:p>
          <w:p w14:paraId="60173F1F" w14:textId="456B46FD" w:rsidR="001E27FF" w:rsidRPr="00575861" w:rsidRDefault="00C17EE3" w:rsidP="00C17EE3">
            <w:pPr>
              <w:pStyle w:val="BodyText1"/>
              <w:numPr>
                <w:ilvl w:val="0"/>
                <w:numId w:val="0"/>
              </w:numPr>
              <w:rPr>
                <w:szCs w:val="24"/>
              </w:rPr>
            </w:pPr>
            <w:r w:rsidRPr="00C17EE3">
              <w:rPr>
                <w:szCs w:val="24"/>
              </w:rPr>
              <w:t>Consultation on how best to</w:t>
            </w:r>
            <w:r>
              <w:rPr>
                <w:szCs w:val="24"/>
              </w:rPr>
              <w:t xml:space="preserve"> </w:t>
            </w:r>
            <w:r w:rsidRPr="00C17EE3">
              <w:rPr>
                <w:szCs w:val="24"/>
              </w:rPr>
              <w:t>transition to a two-way grid</w:t>
            </w:r>
            <w:r>
              <w:rPr>
                <w:szCs w:val="24"/>
              </w:rPr>
              <w:t xml:space="preserve"> </w:t>
            </w:r>
            <w:r w:rsidRPr="00C17EE3">
              <w:rPr>
                <w:szCs w:val="24"/>
              </w:rPr>
              <w:t>that allows better integration</w:t>
            </w:r>
            <w:r>
              <w:rPr>
                <w:szCs w:val="24"/>
              </w:rPr>
              <w:t xml:space="preserve"> </w:t>
            </w:r>
            <w:r w:rsidRPr="00C17EE3">
              <w:rPr>
                <w:szCs w:val="24"/>
              </w:rPr>
              <w:t>of Distributed Energy Resources</w:t>
            </w:r>
            <w:r>
              <w:rPr>
                <w:szCs w:val="24"/>
              </w:rPr>
              <w:t xml:space="preserve"> </w:t>
            </w:r>
            <w:r w:rsidRPr="00C17EE3">
              <w:rPr>
                <w:szCs w:val="24"/>
              </w:rPr>
              <w:t>for the benefit of all consumers</w:t>
            </w:r>
          </w:p>
        </w:tc>
      </w:tr>
      <w:tr w:rsidR="00170A6F" w:rsidRPr="00575861" w14:paraId="60173F24" w14:textId="77777777" w:rsidTr="00C17EE3">
        <w:tc>
          <w:tcPr>
            <w:tcW w:w="3189" w:type="dxa"/>
          </w:tcPr>
          <w:p w14:paraId="60173F21" w14:textId="6418DA58" w:rsidR="00170A6F" w:rsidRPr="00575861" w:rsidRDefault="00170A6F" w:rsidP="00170A6F">
            <w:pPr>
              <w:pStyle w:val="BodyText1"/>
              <w:numPr>
                <w:ilvl w:val="0"/>
                <w:numId w:val="0"/>
              </w:numPr>
              <w:rPr>
                <w:b/>
                <w:szCs w:val="24"/>
              </w:rPr>
            </w:pPr>
            <w:r w:rsidRPr="00575861">
              <w:rPr>
                <w:b/>
                <w:szCs w:val="24"/>
              </w:rPr>
              <w:t>Name</w:t>
            </w:r>
            <w:r w:rsidR="00B47A0D">
              <w:rPr>
                <w:b/>
                <w:szCs w:val="24"/>
              </w:rPr>
              <w:t xml:space="preserve"> and </w:t>
            </w:r>
            <w:r w:rsidRPr="00575861">
              <w:rPr>
                <w:b/>
                <w:szCs w:val="24"/>
              </w:rPr>
              <w:t xml:space="preserve">Organisation: </w:t>
            </w:r>
          </w:p>
          <w:p w14:paraId="60173F22" w14:textId="0F3800D0" w:rsidR="00170A6F" w:rsidRPr="001E0502" w:rsidRDefault="00170A6F" w:rsidP="00170A6F">
            <w:pPr>
              <w:pStyle w:val="BodyText1"/>
              <w:numPr>
                <w:ilvl w:val="0"/>
                <w:numId w:val="0"/>
              </w:numPr>
              <w:rPr>
                <w:sz w:val="20"/>
                <w:szCs w:val="20"/>
              </w:rPr>
            </w:pPr>
          </w:p>
        </w:tc>
        <w:tc>
          <w:tcPr>
            <w:tcW w:w="5470" w:type="dxa"/>
          </w:tcPr>
          <w:p w14:paraId="5F5DDB7C" w14:textId="7351CB68" w:rsidR="00C17EE3" w:rsidRPr="00C17EE3" w:rsidRDefault="00C17EE3" w:rsidP="00170BFB">
            <w:pPr>
              <w:pStyle w:val="BodyText1"/>
              <w:numPr>
                <w:ilvl w:val="0"/>
                <w:numId w:val="0"/>
              </w:numPr>
              <w:rPr>
                <w:szCs w:val="24"/>
              </w:rPr>
            </w:pPr>
            <w:r w:rsidRPr="00121085">
              <w:rPr>
                <w:noProof/>
                <w:szCs w:val="24"/>
              </w:rPr>
              <w:t>Shariq</w:t>
            </w:r>
            <w:r w:rsidRPr="00C17EE3">
              <w:rPr>
                <w:szCs w:val="24"/>
              </w:rPr>
              <w:t xml:space="preserve"> Riaz</w:t>
            </w:r>
            <w:r w:rsidRPr="00C17EE3">
              <w:rPr>
                <w:szCs w:val="24"/>
                <w:vertAlign w:val="superscript"/>
              </w:rPr>
              <w:t>*</w:t>
            </w:r>
          </w:p>
          <w:p w14:paraId="16F14BA3" w14:textId="77777777" w:rsidR="00170A6F" w:rsidRPr="00C17EE3" w:rsidRDefault="00C17EE3" w:rsidP="00170BFB">
            <w:pPr>
              <w:pStyle w:val="BodyText1"/>
              <w:numPr>
                <w:ilvl w:val="0"/>
                <w:numId w:val="0"/>
              </w:numPr>
              <w:rPr>
                <w:szCs w:val="24"/>
              </w:rPr>
            </w:pPr>
            <w:r w:rsidRPr="00C17EE3">
              <w:rPr>
                <w:szCs w:val="24"/>
              </w:rPr>
              <w:t>The University of Melbourne</w:t>
            </w:r>
          </w:p>
          <w:p w14:paraId="60173F23" w14:textId="565ADC61" w:rsidR="00C17EE3" w:rsidRPr="00C17EE3" w:rsidRDefault="00C17EE3" w:rsidP="00170BFB">
            <w:pPr>
              <w:pStyle w:val="BodyText1"/>
              <w:numPr>
                <w:ilvl w:val="0"/>
                <w:numId w:val="0"/>
              </w:numPr>
              <w:rPr>
                <w:szCs w:val="24"/>
              </w:rPr>
            </w:pPr>
            <w:r w:rsidRPr="00C17EE3">
              <w:rPr>
                <w:szCs w:val="24"/>
                <w:vertAlign w:val="superscript"/>
              </w:rPr>
              <w:t>*</w:t>
            </w:r>
            <w:r w:rsidRPr="00C17EE3">
              <w:rPr>
                <w:szCs w:val="24"/>
              </w:rPr>
              <w:t>responding in a personal capacity</w:t>
            </w:r>
          </w:p>
        </w:tc>
      </w:tr>
      <w:tr w:rsidR="001E27FF" w:rsidRPr="00575861" w14:paraId="60173F27" w14:textId="77777777" w:rsidTr="00C17EE3">
        <w:tc>
          <w:tcPr>
            <w:tcW w:w="3189" w:type="dxa"/>
          </w:tcPr>
          <w:p w14:paraId="60173F25" w14:textId="6C4B0C77" w:rsidR="001E27FF" w:rsidRPr="00575861" w:rsidRDefault="001725A1" w:rsidP="001E27FF">
            <w:pPr>
              <w:pStyle w:val="BodyText1"/>
              <w:numPr>
                <w:ilvl w:val="0"/>
                <w:numId w:val="0"/>
              </w:numPr>
              <w:rPr>
                <w:b/>
                <w:szCs w:val="24"/>
              </w:rPr>
            </w:pPr>
            <w:r w:rsidRPr="00121085">
              <w:rPr>
                <w:b/>
                <w:noProof/>
                <w:szCs w:val="24"/>
              </w:rPr>
              <w:t>C</w:t>
            </w:r>
            <w:r w:rsidR="001E27FF" w:rsidRPr="00121085">
              <w:rPr>
                <w:b/>
                <w:noProof/>
                <w:szCs w:val="24"/>
              </w:rPr>
              <w:t>ontact</w:t>
            </w:r>
            <w:r w:rsidR="001E27FF" w:rsidRPr="00575861">
              <w:rPr>
                <w:b/>
                <w:szCs w:val="24"/>
              </w:rPr>
              <w:t xml:space="preserve"> number for any clarifications:</w:t>
            </w:r>
          </w:p>
        </w:tc>
        <w:tc>
          <w:tcPr>
            <w:tcW w:w="5470" w:type="dxa"/>
          </w:tcPr>
          <w:p w14:paraId="60173F26" w14:textId="58134DDD" w:rsidR="001E27FF" w:rsidRPr="00575861" w:rsidRDefault="00C17EE3" w:rsidP="00C17EE3">
            <w:pPr>
              <w:pStyle w:val="BodyText1"/>
              <w:numPr>
                <w:ilvl w:val="0"/>
                <w:numId w:val="0"/>
              </w:numPr>
              <w:rPr>
                <w:szCs w:val="24"/>
              </w:rPr>
            </w:pPr>
            <w:r>
              <w:rPr>
                <w:szCs w:val="24"/>
              </w:rPr>
              <w:t>03 9035 5379</w:t>
            </w:r>
          </w:p>
        </w:tc>
      </w:tr>
      <w:tr w:rsidR="00085A73" w:rsidRPr="00575861" w14:paraId="60173F2A" w14:textId="77777777" w:rsidTr="00C17EE3">
        <w:tc>
          <w:tcPr>
            <w:tcW w:w="3189" w:type="dxa"/>
          </w:tcPr>
          <w:p w14:paraId="60173F28" w14:textId="77777777" w:rsidR="00085A73" w:rsidRPr="00575861" w:rsidRDefault="00085A73" w:rsidP="00170A6F">
            <w:pPr>
              <w:pStyle w:val="BodyText1"/>
              <w:numPr>
                <w:ilvl w:val="0"/>
                <w:numId w:val="0"/>
              </w:numPr>
              <w:rPr>
                <w:b/>
                <w:szCs w:val="24"/>
              </w:rPr>
            </w:pPr>
            <w:r w:rsidRPr="00121085">
              <w:rPr>
                <w:b/>
                <w:noProof/>
                <w:szCs w:val="24"/>
              </w:rPr>
              <w:t>Email</w:t>
            </w:r>
            <w:r w:rsidRPr="00575861">
              <w:rPr>
                <w:b/>
                <w:szCs w:val="24"/>
              </w:rPr>
              <w:t xml:space="preserve"> address for any clarifications:</w:t>
            </w:r>
          </w:p>
        </w:tc>
        <w:tc>
          <w:tcPr>
            <w:tcW w:w="5470" w:type="dxa"/>
          </w:tcPr>
          <w:p w14:paraId="2981D6C9" w14:textId="77777777" w:rsidR="00085A73" w:rsidRDefault="00C17EE3" w:rsidP="00170BFB">
            <w:pPr>
              <w:pStyle w:val="BodyText1"/>
              <w:numPr>
                <w:ilvl w:val="0"/>
                <w:numId w:val="0"/>
              </w:numPr>
              <w:rPr>
                <w:szCs w:val="24"/>
              </w:rPr>
            </w:pPr>
            <w:r>
              <w:rPr>
                <w:szCs w:val="24"/>
              </w:rPr>
              <w:t>Shariq.riaz@unimelb.edu.au</w:t>
            </w:r>
          </w:p>
          <w:p w14:paraId="60173F29" w14:textId="0B78848D" w:rsidR="00C17EE3" w:rsidRPr="00575861" w:rsidRDefault="00C17EE3" w:rsidP="00170BFB">
            <w:pPr>
              <w:pStyle w:val="BodyText1"/>
              <w:numPr>
                <w:ilvl w:val="0"/>
                <w:numId w:val="0"/>
              </w:numPr>
              <w:rPr>
                <w:szCs w:val="24"/>
              </w:rPr>
            </w:pPr>
          </w:p>
        </w:tc>
      </w:tr>
    </w:tbl>
    <w:p w14:paraId="60173F35" w14:textId="77777777" w:rsidR="00170BFB" w:rsidRDefault="00170BFB" w:rsidP="00170BFB">
      <w:pPr>
        <w:pStyle w:val="BodyText1"/>
        <w:numPr>
          <w:ilvl w:val="0"/>
          <w:numId w:val="0"/>
        </w:numPr>
      </w:pPr>
    </w:p>
    <w:p w14:paraId="60173F36" w14:textId="77777777" w:rsidR="00E52202" w:rsidRDefault="00E52202">
      <w:pPr>
        <w:rPr>
          <w:b/>
          <w:sz w:val="24"/>
          <w:lang w:val="en-GB"/>
        </w:rPr>
      </w:pPr>
      <w:r>
        <w:rPr>
          <w:b/>
        </w:rPr>
        <w:br w:type="page"/>
      </w:r>
    </w:p>
    <w:p w14:paraId="60173F37" w14:textId="77777777" w:rsidR="00085A73" w:rsidRPr="00B630F1" w:rsidRDefault="00085A73" w:rsidP="00170BFB">
      <w:pPr>
        <w:pStyle w:val="BodyText1"/>
        <w:numPr>
          <w:ilvl w:val="0"/>
          <w:numId w:val="0"/>
        </w:numPr>
        <w:rPr>
          <w:b/>
          <w:szCs w:val="24"/>
        </w:rPr>
      </w:pPr>
      <w:r w:rsidRPr="00B630F1">
        <w:rPr>
          <w:b/>
          <w:szCs w:val="24"/>
        </w:rPr>
        <w:lastRenderedPageBreak/>
        <w:t>General comments:</w:t>
      </w:r>
    </w:p>
    <w:p w14:paraId="3DFCFF73" w14:textId="3079923D" w:rsidR="00E172AC" w:rsidRDefault="005D5B47" w:rsidP="00E172AC">
      <w:pPr>
        <w:pStyle w:val="BodyText1"/>
        <w:numPr>
          <w:ilvl w:val="0"/>
          <w:numId w:val="0"/>
        </w:numPr>
      </w:pPr>
      <w:r>
        <w:t xml:space="preserve">In the consultation </w:t>
      </w:r>
      <w:r w:rsidRPr="001725A1">
        <w:rPr>
          <w:noProof/>
        </w:rPr>
        <w:t>paper</w:t>
      </w:r>
      <w:r w:rsidR="001725A1">
        <w:rPr>
          <w:noProof/>
        </w:rPr>
        <w:t>,</w:t>
      </w:r>
      <w:r>
        <w:t xml:space="preserve"> the concepts of active distributed energy resources (DER) and virtual power plant (VPP) are presented as disjoint independent entities, which is not strictly correct. The perception one gets is “active DERs are resources that are </w:t>
      </w:r>
      <w:r w:rsidRPr="001725A1">
        <w:rPr>
          <w:noProof/>
        </w:rPr>
        <w:t>consumer</w:t>
      </w:r>
      <w:r w:rsidR="001725A1">
        <w:rPr>
          <w:noProof/>
        </w:rPr>
        <w:t>-</w:t>
      </w:r>
      <w:r w:rsidRPr="001725A1">
        <w:rPr>
          <w:noProof/>
        </w:rPr>
        <w:t>owned</w:t>
      </w:r>
      <w:r>
        <w:t xml:space="preserve"> resources that </w:t>
      </w:r>
      <w:r w:rsidR="00B47A0D">
        <w:t>could</w:t>
      </w:r>
      <w:r>
        <w:t xml:space="preserve"> be controlled through price signals or </w:t>
      </w:r>
      <w:r w:rsidR="001725A1">
        <w:t>an</w:t>
      </w:r>
      <w:r w:rsidRPr="001725A1">
        <w:rPr>
          <w:noProof/>
        </w:rPr>
        <w:t>other mechanism</w:t>
      </w:r>
      <w:r>
        <w:t xml:space="preserve">. An aggregator will combine these </w:t>
      </w:r>
      <w:r w:rsidRPr="001725A1">
        <w:rPr>
          <w:noProof/>
        </w:rPr>
        <w:t>small</w:t>
      </w:r>
      <w:r w:rsidR="001725A1">
        <w:rPr>
          <w:noProof/>
        </w:rPr>
        <w:t>-</w:t>
      </w:r>
      <w:r w:rsidRPr="001725A1">
        <w:rPr>
          <w:noProof/>
        </w:rPr>
        <w:t>scale</w:t>
      </w:r>
      <w:r>
        <w:t xml:space="preserve"> resources and bid them collectively to provide different services at </w:t>
      </w:r>
      <w:r w:rsidR="001725A1">
        <w:t xml:space="preserve">the </w:t>
      </w:r>
      <w:r w:rsidRPr="001725A1">
        <w:rPr>
          <w:noProof/>
        </w:rPr>
        <w:t>distribution</w:t>
      </w:r>
      <w:r>
        <w:t xml:space="preserve"> level and in </w:t>
      </w:r>
      <w:r w:rsidR="001725A1">
        <w:t xml:space="preserve">the </w:t>
      </w:r>
      <w:r w:rsidRPr="001725A1">
        <w:rPr>
          <w:noProof/>
        </w:rPr>
        <w:t>electricity</w:t>
      </w:r>
      <w:r>
        <w:t xml:space="preserve"> market. Whereas, VPP is either </w:t>
      </w:r>
      <w:r w:rsidRPr="001725A1">
        <w:rPr>
          <w:noProof/>
        </w:rPr>
        <w:t xml:space="preserve">a </w:t>
      </w:r>
      <w:r w:rsidRPr="00B47A0D">
        <w:rPr>
          <w:noProof/>
        </w:rPr>
        <w:t>utility</w:t>
      </w:r>
      <w:r w:rsidR="00B47A0D">
        <w:rPr>
          <w:noProof/>
        </w:rPr>
        <w:t>-</w:t>
      </w:r>
      <w:r w:rsidRPr="00B47A0D">
        <w:rPr>
          <w:noProof/>
        </w:rPr>
        <w:t>scale</w:t>
      </w:r>
      <w:r>
        <w:t xml:space="preserve"> battery (Tesla VPP) or </w:t>
      </w:r>
      <w:r w:rsidR="00B47A0D">
        <w:t xml:space="preserve">a </w:t>
      </w:r>
      <w:r w:rsidRPr="00B47A0D">
        <w:rPr>
          <w:noProof/>
        </w:rPr>
        <w:t>large</w:t>
      </w:r>
      <w:r>
        <w:t xml:space="preserve"> </w:t>
      </w:r>
      <w:r w:rsidRPr="00B47A0D">
        <w:rPr>
          <w:noProof/>
        </w:rPr>
        <w:t>collection</w:t>
      </w:r>
      <w:r w:rsidR="00B47A0D">
        <w:rPr>
          <w:noProof/>
        </w:rPr>
        <w:t xml:space="preserve"> of</w:t>
      </w:r>
      <w:r>
        <w:t xml:space="preserve"> household batteries (</w:t>
      </w:r>
      <w:proofErr w:type="spellStart"/>
      <w:r>
        <w:t>Reposit</w:t>
      </w:r>
      <w:proofErr w:type="spellEnd"/>
      <w:r>
        <w:t xml:space="preserve"> power)”.</w:t>
      </w:r>
    </w:p>
    <w:p w14:paraId="71F60CE3" w14:textId="19C1B414" w:rsidR="008E54D9" w:rsidRDefault="005D5B47" w:rsidP="008E54D9">
      <w:pPr>
        <w:pStyle w:val="BodyText1"/>
        <w:numPr>
          <w:ilvl w:val="0"/>
          <w:numId w:val="0"/>
        </w:numPr>
      </w:pPr>
      <w:r>
        <w:t xml:space="preserve">A VPP should not be strictly associated with battery storage and in </w:t>
      </w:r>
      <w:r w:rsidRPr="001725A1">
        <w:rPr>
          <w:noProof/>
        </w:rPr>
        <w:t>general</w:t>
      </w:r>
      <w:r w:rsidR="001725A1">
        <w:rPr>
          <w:noProof/>
        </w:rPr>
        <w:t>,</w:t>
      </w:r>
      <w:r>
        <w:t xml:space="preserve"> the scope of VPP is much broader. </w:t>
      </w:r>
      <w:r w:rsidR="008E54D9">
        <w:t>VPP is an aggregation concept that enables aggregation of a</w:t>
      </w:r>
      <w:r w:rsidR="008E54D9" w:rsidRPr="005C4688">
        <w:t xml:space="preserve"> number of subsystems containing clusters of DER</w:t>
      </w:r>
      <w:r w:rsidR="008E54D9">
        <w:t>,</w:t>
      </w:r>
      <w:r w:rsidR="008E54D9" w:rsidRPr="005C4688">
        <w:t xml:space="preserve"> loads</w:t>
      </w:r>
      <w:r w:rsidR="008E54D9">
        <w:t xml:space="preserve"> and </w:t>
      </w:r>
      <w:r w:rsidR="008E54D9" w:rsidRPr="00121085">
        <w:rPr>
          <w:noProof/>
        </w:rPr>
        <w:t>storage</w:t>
      </w:r>
      <w:r w:rsidR="008E54D9" w:rsidRPr="005C4688">
        <w:t xml:space="preserve"> </w:t>
      </w:r>
      <w:r w:rsidR="008E54D9">
        <w:t>that can then be controlled by</w:t>
      </w:r>
      <w:r w:rsidR="008E54D9" w:rsidRPr="005C4688">
        <w:t xml:space="preserve"> appropriate e</w:t>
      </w:r>
      <w:r w:rsidR="008E54D9">
        <w:t>nergy management strategies</w:t>
      </w:r>
      <w:r w:rsidR="008E54D9" w:rsidRPr="005C4688">
        <w:t>.</w:t>
      </w:r>
      <w:r w:rsidR="008E54D9">
        <w:t xml:space="preserve"> The benefit being that </w:t>
      </w:r>
      <w:r w:rsidR="008E54D9" w:rsidRPr="005C4688">
        <w:t xml:space="preserve">the </w:t>
      </w:r>
      <w:r w:rsidR="008E54D9">
        <w:t>independent system operator does not require direct access to the control of</w:t>
      </w:r>
      <w:r w:rsidR="008E54D9" w:rsidRPr="005C4688">
        <w:t xml:space="preserve"> individua</w:t>
      </w:r>
      <w:r w:rsidR="008E54D9">
        <w:t xml:space="preserve">l DER or the visibility inside VPP. The best way to describe VPP is to think of it as generator comprising of flexible and inflexible resources deploying flexibility to increase revenue or decrease </w:t>
      </w:r>
      <w:r w:rsidR="001725A1">
        <w:t xml:space="preserve">the </w:t>
      </w:r>
      <w:r w:rsidR="008E54D9" w:rsidRPr="001725A1">
        <w:rPr>
          <w:noProof/>
        </w:rPr>
        <w:t>cost</w:t>
      </w:r>
      <w:r w:rsidR="008E54D9">
        <w:t xml:space="preserve"> for </w:t>
      </w:r>
      <w:r w:rsidR="001725A1">
        <w:t xml:space="preserve">the </w:t>
      </w:r>
      <w:r w:rsidR="008E54D9" w:rsidRPr="001725A1">
        <w:rPr>
          <w:noProof/>
        </w:rPr>
        <w:t>owner</w:t>
      </w:r>
      <w:r w:rsidR="00B47A0D">
        <w:rPr>
          <w:noProof/>
        </w:rPr>
        <w:t>,</w:t>
      </w:r>
      <w:r w:rsidR="008E54D9">
        <w:t xml:space="preserve"> by providing grid services. </w:t>
      </w:r>
      <w:r w:rsidR="003C4CD5">
        <w:t xml:space="preserve">An aggregator offering active DERs collectively is essentially </w:t>
      </w:r>
      <w:r w:rsidR="003C4CD5" w:rsidRPr="001725A1">
        <w:rPr>
          <w:noProof/>
        </w:rPr>
        <w:t>a VPP</w:t>
      </w:r>
      <w:r w:rsidR="003C4CD5">
        <w:t>. Furthermore, a VPP can also co-optimis</w:t>
      </w:r>
      <w:r w:rsidR="00B47A0D">
        <w:t>e</w:t>
      </w:r>
      <w:r w:rsidR="003C4CD5">
        <w:t xml:space="preserve"> different energy vectors to their advantage.</w:t>
      </w:r>
    </w:p>
    <w:p w14:paraId="4930A7D9" w14:textId="3DCA2316" w:rsidR="003C4CD5" w:rsidRDefault="003C4CD5" w:rsidP="008E54D9">
      <w:pPr>
        <w:pStyle w:val="BodyText1"/>
        <w:numPr>
          <w:ilvl w:val="0"/>
          <w:numId w:val="0"/>
        </w:numPr>
      </w:pPr>
      <w:r>
        <w:t xml:space="preserve">Another way to look at is that </w:t>
      </w:r>
      <w:r w:rsidRPr="00B47A0D">
        <w:rPr>
          <w:noProof/>
        </w:rPr>
        <w:t>aggregator contracts</w:t>
      </w:r>
      <w:r>
        <w:t xml:space="preserve"> different DERs, loads and </w:t>
      </w:r>
      <w:r w:rsidRPr="00121085">
        <w:rPr>
          <w:noProof/>
        </w:rPr>
        <w:t>storage</w:t>
      </w:r>
      <w:r w:rsidR="00B47A0D">
        <w:rPr>
          <w:noProof/>
        </w:rPr>
        <w:t>,</w:t>
      </w:r>
      <w:r>
        <w:t xml:space="preserve"> and collectively </w:t>
      </w:r>
      <w:r w:rsidRPr="001725A1">
        <w:rPr>
          <w:noProof/>
        </w:rPr>
        <w:t>form</w:t>
      </w:r>
      <w:r>
        <w:t xml:space="preserve"> a VPP. Then VPPs are allowed to bid in different markets just like other generators. In </w:t>
      </w:r>
      <w:r w:rsidRPr="001725A1">
        <w:rPr>
          <w:noProof/>
        </w:rPr>
        <w:t>theory</w:t>
      </w:r>
      <w:r w:rsidR="001725A1">
        <w:rPr>
          <w:noProof/>
        </w:rPr>
        <w:t>,</w:t>
      </w:r>
      <w:r>
        <w:t xml:space="preserve"> VPPs are subjected to </w:t>
      </w:r>
      <w:r w:rsidR="001725A1">
        <w:t xml:space="preserve">the </w:t>
      </w:r>
      <w:r w:rsidRPr="001725A1">
        <w:rPr>
          <w:noProof/>
        </w:rPr>
        <w:t>same</w:t>
      </w:r>
      <w:r>
        <w:t xml:space="preserve"> restriction as that of generators, </w:t>
      </w:r>
      <w:r w:rsidR="001725A1">
        <w:t>such as</w:t>
      </w:r>
      <w:r>
        <w:t xml:space="preserve"> ramp-rate, </w:t>
      </w:r>
      <w:r w:rsidR="001725A1">
        <w:t>operational PQ charts</w:t>
      </w:r>
      <w:r>
        <w:t xml:space="preserve">, </w:t>
      </w:r>
      <w:r w:rsidR="001725A1">
        <w:t>cost curves etc.</w:t>
      </w:r>
    </w:p>
    <w:p w14:paraId="32BAF616" w14:textId="78DC6A75" w:rsidR="008E54D9" w:rsidRDefault="003C4CD5" w:rsidP="008E54D9">
      <w:pPr>
        <w:pStyle w:val="BodyText1"/>
        <w:numPr>
          <w:ilvl w:val="0"/>
          <w:numId w:val="0"/>
        </w:numPr>
      </w:pPr>
      <w:r>
        <w:t xml:space="preserve">The point to be made here is that the definition of aggregator that is provided in </w:t>
      </w:r>
      <w:r w:rsidR="001725A1">
        <w:t xml:space="preserve">the </w:t>
      </w:r>
      <w:r w:rsidRPr="001725A1">
        <w:rPr>
          <w:noProof/>
        </w:rPr>
        <w:t>glossary</w:t>
      </w:r>
      <w:r>
        <w:t xml:space="preserve"> is in</w:t>
      </w:r>
      <w:r w:rsidR="00B47A0D">
        <w:t>-</w:t>
      </w:r>
      <w:r>
        <w:t xml:space="preserve">line with VPP, thus, requiring a clear distinction between VPP and aggregator, if need to be defined separately. In authors view both can be co-jointly defined under the larges umbrella of VPP. </w:t>
      </w:r>
    </w:p>
    <w:p w14:paraId="727DBDDD" w14:textId="692C1536" w:rsidR="00D60F60" w:rsidRDefault="002C45FA" w:rsidP="002C45FA">
      <w:pPr>
        <w:autoSpaceDE w:val="0"/>
        <w:autoSpaceDN w:val="0"/>
        <w:adjustRightInd w:val="0"/>
        <w:spacing w:after="0" w:line="240" w:lineRule="auto"/>
        <w:rPr>
          <w:b/>
          <w:szCs w:val="24"/>
        </w:rPr>
      </w:pPr>
      <w:r>
        <w:rPr>
          <w:b/>
          <w:szCs w:val="24"/>
        </w:rPr>
        <w:t xml:space="preserve">Section 3 - </w:t>
      </w:r>
      <w:r w:rsidR="001E27FF" w:rsidRPr="00B630F1">
        <w:rPr>
          <w:b/>
          <w:szCs w:val="24"/>
        </w:rPr>
        <w:t>Q</w:t>
      </w:r>
      <w:r w:rsidR="001E27FF" w:rsidRPr="002C45FA">
        <w:rPr>
          <w:b/>
          <w:szCs w:val="24"/>
        </w:rPr>
        <w:t>uestion 1</w:t>
      </w:r>
      <w:r w:rsidR="00D60F60" w:rsidRPr="002C45FA">
        <w:rPr>
          <w:b/>
          <w:szCs w:val="24"/>
        </w:rPr>
        <w:t>.</w:t>
      </w:r>
      <w:r w:rsidR="00E52202" w:rsidRPr="002C45FA">
        <w:rPr>
          <w:b/>
          <w:szCs w:val="24"/>
        </w:rPr>
        <w:t xml:space="preserve"> </w:t>
      </w:r>
      <w:r w:rsidRPr="002C45FA">
        <w:rPr>
          <w:b/>
          <w:szCs w:val="24"/>
        </w:rPr>
        <w:t>Are there additional key challenges presented by passive DER beyond those identified here?</w:t>
      </w:r>
    </w:p>
    <w:p w14:paraId="1F885784" w14:textId="1F68B1BD" w:rsidR="000F5C27" w:rsidRDefault="002C45FA" w:rsidP="00D60F60">
      <w:pPr>
        <w:pStyle w:val="BodyText1"/>
        <w:numPr>
          <w:ilvl w:val="0"/>
          <w:numId w:val="0"/>
        </w:numPr>
        <w:rPr>
          <w:szCs w:val="24"/>
        </w:rPr>
      </w:pPr>
      <w:r>
        <w:rPr>
          <w:szCs w:val="24"/>
        </w:rPr>
        <w:t xml:space="preserve">In section 3.3, blanket limits as a potential solution to mitigate some of the challenges </w:t>
      </w:r>
      <w:r w:rsidR="00CB6AD3">
        <w:rPr>
          <w:noProof/>
          <w:szCs w:val="24"/>
        </w:rPr>
        <w:t>are</w:t>
      </w:r>
      <w:r>
        <w:rPr>
          <w:szCs w:val="24"/>
        </w:rPr>
        <w:t xml:space="preserve"> discussed along with </w:t>
      </w:r>
      <w:r w:rsidR="000F5C27">
        <w:rPr>
          <w:szCs w:val="24"/>
        </w:rPr>
        <w:t>its</w:t>
      </w:r>
      <w:r>
        <w:rPr>
          <w:szCs w:val="24"/>
        </w:rPr>
        <w:t xml:space="preserve"> inefficiencies. One important thing </w:t>
      </w:r>
      <w:r w:rsidR="000F5C27">
        <w:rPr>
          <w:szCs w:val="24"/>
        </w:rPr>
        <w:t xml:space="preserve">here </w:t>
      </w:r>
      <w:r>
        <w:rPr>
          <w:szCs w:val="24"/>
        </w:rPr>
        <w:t xml:space="preserve">is to acknowledge </w:t>
      </w:r>
      <w:r w:rsidR="000F5C27">
        <w:rPr>
          <w:szCs w:val="24"/>
        </w:rPr>
        <w:t xml:space="preserve">that emerging technologies have empowered consumers to react and adapt to the network restrictions, thus they are no longer passive and should be considered as </w:t>
      </w:r>
      <w:r w:rsidR="000F5C27" w:rsidRPr="00CB6AD3">
        <w:rPr>
          <w:noProof/>
          <w:szCs w:val="24"/>
        </w:rPr>
        <w:t>market players</w:t>
      </w:r>
      <w:r>
        <w:rPr>
          <w:szCs w:val="24"/>
        </w:rPr>
        <w:t xml:space="preserve">. </w:t>
      </w:r>
      <w:r w:rsidR="000F5C27">
        <w:rPr>
          <w:szCs w:val="24"/>
        </w:rPr>
        <w:t xml:space="preserve">In this context, it is rightly mentioned that such policies will reduce </w:t>
      </w:r>
      <w:r w:rsidR="00CB6AD3">
        <w:rPr>
          <w:szCs w:val="24"/>
        </w:rPr>
        <w:t xml:space="preserve">the </w:t>
      </w:r>
      <w:r w:rsidR="000F5C27" w:rsidRPr="00CB6AD3">
        <w:rPr>
          <w:noProof/>
          <w:szCs w:val="24"/>
        </w:rPr>
        <w:t>value</w:t>
      </w:r>
      <w:r w:rsidR="000F5C27">
        <w:rPr>
          <w:szCs w:val="24"/>
        </w:rPr>
        <w:t xml:space="preserve"> to customer investment, but at the same </w:t>
      </w:r>
      <w:r w:rsidR="000F5C27" w:rsidRPr="00CB6AD3">
        <w:rPr>
          <w:noProof/>
          <w:szCs w:val="24"/>
        </w:rPr>
        <w:t>time</w:t>
      </w:r>
      <w:r w:rsidR="00CB6AD3">
        <w:rPr>
          <w:noProof/>
          <w:szCs w:val="24"/>
        </w:rPr>
        <w:t>,</w:t>
      </w:r>
      <w:r w:rsidR="000F5C27">
        <w:rPr>
          <w:szCs w:val="24"/>
        </w:rPr>
        <w:t xml:space="preserve"> this </w:t>
      </w:r>
      <w:r w:rsidR="00A55749">
        <w:rPr>
          <w:szCs w:val="24"/>
        </w:rPr>
        <w:t>might</w:t>
      </w:r>
      <w:r w:rsidR="000F5C27">
        <w:rPr>
          <w:szCs w:val="24"/>
        </w:rPr>
        <w:t xml:space="preserve"> also incentivise them to </w:t>
      </w:r>
      <w:r w:rsidR="00A55749">
        <w:rPr>
          <w:szCs w:val="24"/>
        </w:rPr>
        <w:t xml:space="preserve">invest more in storage, resulting in an inefficient investment that could have been averted in the </w:t>
      </w:r>
      <w:r w:rsidR="00A55749">
        <w:rPr>
          <w:szCs w:val="24"/>
        </w:rPr>
        <w:lastRenderedPageBreak/>
        <w:t>presence of active DER</w:t>
      </w:r>
      <w:r w:rsidR="000F5C27">
        <w:rPr>
          <w:szCs w:val="24"/>
        </w:rPr>
        <w:t xml:space="preserve">. </w:t>
      </w:r>
      <w:r w:rsidR="00A55749">
        <w:rPr>
          <w:szCs w:val="24"/>
        </w:rPr>
        <w:t>Thus, i</w:t>
      </w:r>
      <w:r w:rsidR="000F5C27">
        <w:rPr>
          <w:szCs w:val="24"/>
        </w:rPr>
        <w:t xml:space="preserve">t is important to estimate the </w:t>
      </w:r>
      <w:r w:rsidR="00065700">
        <w:rPr>
          <w:szCs w:val="24"/>
        </w:rPr>
        <w:t xml:space="preserve">impact of particular policy on </w:t>
      </w:r>
      <w:r w:rsidR="00A55749">
        <w:rPr>
          <w:szCs w:val="24"/>
        </w:rPr>
        <w:t>consumer behaviour both in the presence</w:t>
      </w:r>
      <w:r w:rsidR="000F5C27">
        <w:rPr>
          <w:szCs w:val="24"/>
        </w:rPr>
        <w:t xml:space="preserve"> of passive and active DER</w:t>
      </w:r>
      <w:r w:rsidR="00065700">
        <w:rPr>
          <w:szCs w:val="24"/>
        </w:rPr>
        <w:t>.</w:t>
      </w:r>
    </w:p>
    <w:p w14:paraId="4EA01C74" w14:textId="788C31B9" w:rsidR="006E2C45" w:rsidRPr="006E2C45" w:rsidRDefault="00A55749" w:rsidP="006E2C45">
      <w:pPr>
        <w:pStyle w:val="BodyText1"/>
        <w:numPr>
          <w:ilvl w:val="0"/>
          <w:numId w:val="0"/>
        </w:numPr>
        <w:rPr>
          <w:szCs w:val="24"/>
        </w:rPr>
      </w:pPr>
      <w:r>
        <w:rPr>
          <w:szCs w:val="24"/>
        </w:rPr>
        <w:t>It</w:t>
      </w:r>
      <w:r w:rsidR="00065700">
        <w:rPr>
          <w:szCs w:val="24"/>
        </w:rPr>
        <w:t xml:space="preserve"> is </w:t>
      </w:r>
      <w:r>
        <w:rPr>
          <w:szCs w:val="24"/>
        </w:rPr>
        <w:t xml:space="preserve">also </w:t>
      </w:r>
      <w:r w:rsidR="00065700">
        <w:rPr>
          <w:szCs w:val="24"/>
        </w:rPr>
        <w:t xml:space="preserve">important to understand that </w:t>
      </w:r>
      <w:r w:rsidR="00CB6AD3">
        <w:rPr>
          <w:szCs w:val="24"/>
        </w:rPr>
        <w:t xml:space="preserve">if not designed carefully, </w:t>
      </w:r>
      <w:r w:rsidR="00065700">
        <w:rPr>
          <w:szCs w:val="24"/>
        </w:rPr>
        <w:t>static policies that might be developed to deal with passive DERs can potentially incen</w:t>
      </w:r>
      <w:r w:rsidR="00CB6AD3">
        <w:rPr>
          <w:szCs w:val="24"/>
        </w:rPr>
        <w:t xml:space="preserve">tivise consumers </w:t>
      </w:r>
      <w:r>
        <w:rPr>
          <w:szCs w:val="24"/>
        </w:rPr>
        <w:t>to act in their best interest.</w:t>
      </w:r>
      <w:bookmarkStart w:id="0" w:name="_GoBack"/>
      <w:bookmarkEnd w:id="0"/>
    </w:p>
    <w:p w14:paraId="533BDA60" w14:textId="67F78377" w:rsidR="00CB6AD3" w:rsidRPr="001725A1" w:rsidRDefault="00CB6AD3" w:rsidP="001725A1">
      <w:pPr>
        <w:autoSpaceDE w:val="0"/>
        <w:autoSpaceDN w:val="0"/>
        <w:adjustRightInd w:val="0"/>
        <w:spacing w:after="0" w:line="240" w:lineRule="auto"/>
        <w:rPr>
          <w:b/>
          <w:szCs w:val="24"/>
        </w:rPr>
      </w:pPr>
      <w:r>
        <w:rPr>
          <w:b/>
          <w:szCs w:val="24"/>
        </w:rPr>
        <w:t xml:space="preserve">Section 4 - </w:t>
      </w:r>
      <w:r w:rsidRPr="00B630F1">
        <w:rPr>
          <w:b/>
          <w:szCs w:val="24"/>
        </w:rPr>
        <w:t>Q</w:t>
      </w:r>
      <w:r w:rsidR="001725A1">
        <w:rPr>
          <w:b/>
          <w:szCs w:val="24"/>
        </w:rPr>
        <w:t>uestion 5</w:t>
      </w:r>
      <w:r w:rsidRPr="002C45FA">
        <w:rPr>
          <w:b/>
          <w:szCs w:val="24"/>
        </w:rPr>
        <w:t>.</w:t>
      </w:r>
      <w:r w:rsidR="001725A1">
        <w:rPr>
          <w:b/>
          <w:szCs w:val="24"/>
        </w:rPr>
        <w:t xml:space="preserve"> </w:t>
      </w:r>
      <w:r w:rsidR="001725A1" w:rsidRPr="001725A1">
        <w:rPr>
          <w:b/>
          <w:szCs w:val="24"/>
        </w:rPr>
        <w:t>At what point is coordination of the Wholesale, FCAS and new markets for DER required?</w:t>
      </w:r>
    </w:p>
    <w:p w14:paraId="1D7B5D99" w14:textId="147915C4" w:rsidR="001725A1" w:rsidRDefault="001725A1" w:rsidP="001725A1">
      <w:pPr>
        <w:autoSpaceDE w:val="0"/>
        <w:autoSpaceDN w:val="0"/>
        <w:adjustRightInd w:val="0"/>
        <w:spacing w:after="0" w:line="240" w:lineRule="auto"/>
        <w:rPr>
          <w:noProof/>
          <w:szCs w:val="24"/>
        </w:rPr>
      </w:pPr>
      <w:r>
        <w:rPr>
          <w:szCs w:val="24"/>
        </w:rPr>
        <w:t xml:space="preserve">In </w:t>
      </w:r>
      <w:r w:rsidR="000578A3">
        <w:rPr>
          <w:szCs w:val="24"/>
        </w:rPr>
        <w:t>the</w:t>
      </w:r>
      <w:r w:rsidRPr="000578A3">
        <w:rPr>
          <w:noProof/>
          <w:szCs w:val="24"/>
        </w:rPr>
        <w:t xml:space="preserve"> authors</w:t>
      </w:r>
      <w:r>
        <w:rPr>
          <w:noProof/>
          <w:szCs w:val="24"/>
        </w:rPr>
        <w:t>’</w:t>
      </w:r>
      <w:r>
        <w:rPr>
          <w:szCs w:val="24"/>
        </w:rPr>
        <w:t xml:space="preserve"> </w:t>
      </w:r>
      <w:r w:rsidRPr="000578A3">
        <w:rPr>
          <w:noProof/>
          <w:szCs w:val="24"/>
        </w:rPr>
        <w:t>opinion</w:t>
      </w:r>
      <w:r w:rsidR="000578A3">
        <w:rPr>
          <w:noProof/>
          <w:szCs w:val="24"/>
        </w:rPr>
        <w:t>,</w:t>
      </w:r>
      <w:r>
        <w:rPr>
          <w:szCs w:val="24"/>
        </w:rPr>
        <w:t xml:space="preserve"> </w:t>
      </w:r>
      <w:r w:rsidR="00A533FA">
        <w:rPr>
          <w:noProof/>
          <w:szCs w:val="24"/>
        </w:rPr>
        <w:t xml:space="preserve">all resources can be aggregated through VPP concept, which will then serve as a </w:t>
      </w:r>
      <w:r w:rsidR="00A533FA" w:rsidRPr="000578A3">
        <w:rPr>
          <w:noProof/>
          <w:szCs w:val="24"/>
        </w:rPr>
        <w:t>coordination</w:t>
      </w:r>
      <w:r w:rsidR="00A533FA">
        <w:rPr>
          <w:noProof/>
          <w:szCs w:val="24"/>
        </w:rPr>
        <w:t xml:space="preserve"> </w:t>
      </w:r>
      <w:r w:rsidR="00A533FA" w:rsidRPr="000578A3">
        <w:rPr>
          <w:noProof/>
          <w:szCs w:val="24"/>
        </w:rPr>
        <w:t>entity</w:t>
      </w:r>
      <w:r w:rsidR="00A533FA">
        <w:rPr>
          <w:noProof/>
          <w:szCs w:val="24"/>
        </w:rPr>
        <w:t xml:space="preserve"> between </w:t>
      </w:r>
      <w:r w:rsidR="00A533FA" w:rsidRPr="000578A3">
        <w:rPr>
          <w:noProof/>
          <w:szCs w:val="24"/>
        </w:rPr>
        <w:t>distr</w:t>
      </w:r>
      <w:r w:rsidR="000578A3">
        <w:rPr>
          <w:noProof/>
          <w:szCs w:val="24"/>
        </w:rPr>
        <w:t>i</w:t>
      </w:r>
      <w:r w:rsidR="00A533FA" w:rsidRPr="000578A3">
        <w:rPr>
          <w:noProof/>
          <w:szCs w:val="24"/>
        </w:rPr>
        <w:t>buted</w:t>
      </w:r>
      <w:r w:rsidR="00A533FA">
        <w:rPr>
          <w:noProof/>
          <w:szCs w:val="24"/>
        </w:rPr>
        <w:t xml:space="preserve"> flexible resources and electricity markets. </w:t>
      </w:r>
    </w:p>
    <w:p w14:paraId="1E367D60" w14:textId="0C025C41" w:rsidR="00A533FA" w:rsidRPr="00065700" w:rsidRDefault="00A533FA" w:rsidP="001725A1">
      <w:pPr>
        <w:autoSpaceDE w:val="0"/>
        <w:autoSpaceDN w:val="0"/>
        <w:adjustRightInd w:val="0"/>
        <w:spacing w:after="0" w:line="240" w:lineRule="auto"/>
        <w:rPr>
          <w:szCs w:val="24"/>
        </w:rPr>
      </w:pPr>
      <w:r>
        <w:rPr>
          <w:noProof/>
          <w:szCs w:val="24"/>
        </w:rPr>
        <w:t xml:space="preserve">The vision is that control infrastructure of </w:t>
      </w:r>
      <w:r w:rsidR="000578A3">
        <w:rPr>
          <w:noProof/>
          <w:szCs w:val="24"/>
        </w:rPr>
        <w:t xml:space="preserve">the </w:t>
      </w:r>
      <w:r w:rsidRPr="000578A3">
        <w:rPr>
          <w:noProof/>
          <w:szCs w:val="24"/>
        </w:rPr>
        <w:t>indiv</w:t>
      </w:r>
      <w:r w:rsidR="000578A3" w:rsidRPr="000578A3">
        <w:rPr>
          <w:noProof/>
          <w:szCs w:val="24"/>
        </w:rPr>
        <w:t>i</w:t>
      </w:r>
      <w:r w:rsidRPr="000578A3">
        <w:rPr>
          <w:noProof/>
          <w:szCs w:val="24"/>
        </w:rPr>
        <w:t>dual</w:t>
      </w:r>
      <w:r>
        <w:rPr>
          <w:noProof/>
          <w:szCs w:val="24"/>
        </w:rPr>
        <w:t xml:space="preserve"> flexible resource is linked to VPP control </w:t>
      </w:r>
      <w:r w:rsidRPr="000578A3">
        <w:rPr>
          <w:noProof/>
          <w:szCs w:val="24"/>
        </w:rPr>
        <w:t>cent</w:t>
      </w:r>
      <w:r w:rsidR="000578A3">
        <w:rPr>
          <w:noProof/>
          <w:szCs w:val="24"/>
        </w:rPr>
        <w:t>re</w:t>
      </w:r>
      <w:r>
        <w:rPr>
          <w:noProof/>
          <w:szCs w:val="24"/>
        </w:rPr>
        <w:t xml:space="preserve">, which bid aggregated </w:t>
      </w:r>
      <w:r w:rsidRPr="000578A3">
        <w:rPr>
          <w:noProof/>
          <w:szCs w:val="24"/>
        </w:rPr>
        <w:t>flexibil</w:t>
      </w:r>
      <w:r w:rsidR="000578A3">
        <w:rPr>
          <w:noProof/>
          <w:szCs w:val="24"/>
        </w:rPr>
        <w:t>i</w:t>
      </w:r>
      <w:r w:rsidRPr="000578A3">
        <w:rPr>
          <w:noProof/>
          <w:szCs w:val="24"/>
        </w:rPr>
        <w:t>ty</w:t>
      </w:r>
      <w:r>
        <w:rPr>
          <w:noProof/>
          <w:szCs w:val="24"/>
        </w:rPr>
        <w:t xml:space="preserve"> from those resources to electricity markets (</w:t>
      </w:r>
      <w:r w:rsidRPr="000578A3">
        <w:rPr>
          <w:noProof/>
          <w:szCs w:val="24"/>
        </w:rPr>
        <w:t>wholesale</w:t>
      </w:r>
      <w:r>
        <w:rPr>
          <w:noProof/>
          <w:szCs w:val="24"/>
        </w:rPr>
        <w:t xml:space="preserve">, FCAS and others) </w:t>
      </w:r>
      <w:r w:rsidRPr="000578A3">
        <w:rPr>
          <w:noProof/>
          <w:szCs w:val="24"/>
        </w:rPr>
        <w:t>accompa</w:t>
      </w:r>
      <w:r w:rsidR="000578A3">
        <w:rPr>
          <w:noProof/>
          <w:szCs w:val="24"/>
        </w:rPr>
        <w:t>ni</w:t>
      </w:r>
      <w:r w:rsidRPr="000578A3">
        <w:rPr>
          <w:noProof/>
          <w:szCs w:val="24"/>
        </w:rPr>
        <w:t>ed</w:t>
      </w:r>
      <w:r>
        <w:rPr>
          <w:noProof/>
          <w:szCs w:val="24"/>
        </w:rPr>
        <w:t xml:space="preserve"> by technical limits. The electricity markets then treat VPP </w:t>
      </w:r>
      <w:r w:rsidR="00B23657">
        <w:rPr>
          <w:noProof/>
          <w:szCs w:val="24"/>
        </w:rPr>
        <w:t xml:space="preserve">equivalent to other </w:t>
      </w:r>
      <w:r>
        <w:rPr>
          <w:noProof/>
          <w:szCs w:val="24"/>
        </w:rPr>
        <w:t>generators and send dispatch instructions</w:t>
      </w:r>
      <w:r w:rsidR="00B23657">
        <w:rPr>
          <w:noProof/>
          <w:szCs w:val="24"/>
        </w:rPr>
        <w:t xml:space="preserve"> along with the applicable </w:t>
      </w:r>
      <w:r w:rsidR="00B23657" w:rsidRPr="000578A3">
        <w:rPr>
          <w:noProof/>
          <w:szCs w:val="24"/>
        </w:rPr>
        <w:t>pe</w:t>
      </w:r>
      <w:r w:rsidR="000578A3">
        <w:rPr>
          <w:noProof/>
          <w:szCs w:val="24"/>
        </w:rPr>
        <w:t>nal</w:t>
      </w:r>
      <w:r w:rsidR="00B23657" w:rsidRPr="000578A3">
        <w:rPr>
          <w:noProof/>
          <w:szCs w:val="24"/>
        </w:rPr>
        <w:t>ties</w:t>
      </w:r>
      <w:r w:rsidR="00B23657">
        <w:rPr>
          <w:noProof/>
          <w:szCs w:val="24"/>
        </w:rPr>
        <w:t xml:space="preserve"> if deviated from that schedule.</w:t>
      </w:r>
    </w:p>
    <w:sectPr w:rsidR="00A533FA" w:rsidRPr="00065700" w:rsidSect="00443656">
      <w:footerReference w:type="default" r:id="rId13"/>
      <w:footerReference w:type="first" r:id="rId14"/>
      <w:footnotePr>
        <w:numRestart w:val="eachSect"/>
      </w:footnotePr>
      <w:type w:val="continuous"/>
      <w:pgSz w:w="11909" w:h="16834" w:code="9"/>
      <w:pgMar w:top="1440" w:right="1440" w:bottom="1440" w:left="180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D416F" w14:textId="77777777" w:rsidR="008D0F48" w:rsidRDefault="008D0F48" w:rsidP="00EA1935">
      <w:r>
        <w:separator/>
      </w:r>
    </w:p>
    <w:p w14:paraId="471434A9" w14:textId="77777777" w:rsidR="008D0F48" w:rsidRDefault="008D0F48"/>
  </w:endnote>
  <w:endnote w:type="continuationSeparator" w:id="0">
    <w:p w14:paraId="2A7DDE77" w14:textId="77777777" w:rsidR="008D0F48" w:rsidRDefault="008D0F48" w:rsidP="00EA1935">
      <w:r>
        <w:continuationSeparator/>
      </w:r>
    </w:p>
    <w:p w14:paraId="39CC57C5" w14:textId="77777777" w:rsidR="008D0F48" w:rsidRDefault="008D0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509608"/>
      <w:docPartObj>
        <w:docPartGallery w:val="Page Numbers (Bottom of Page)"/>
        <w:docPartUnique/>
      </w:docPartObj>
    </w:sdtPr>
    <w:sdtEndPr>
      <w:rPr>
        <w:noProof/>
      </w:rPr>
    </w:sdtEndPr>
    <w:sdtContent>
      <w:p w14:paraId="60173F7D" w14:textId="1B6F5DDB" w:rsidR="001E27FF" w:rsidRDefault="001E27FF">
        <w:pPr>
          <w:pStyle w:val="Footer"/>
          <w:jc w:val="right"/>
        </w:pPr>
        <w:r>
          <w:fldChar w:fldCharType="begin"/>
        </w:r>
        <w:r>
          <w:instrText xml:space="preserve"> PAGE   \* MERGEFORMAT </w:instrText>
        </w:r>
        <w:r>
          <w:fldChar w:fldCharType="separate"/>
        </w:r>
        <w:r w:rsidR="000578A3">
          <w:rPr>
            <w:noProof/>
          </w:rPr>
          <w:t>3</w:t>
        </w:r>
        <w:r>
          <w:rPr>
            <w:noProof/>
          </w:rPr>
          <w:fldChar w:fldCharType="end"/>
        </w:r>
      </w:p>
    </w:sdtContent>
  </w:sdt>
  <w:p w14:paraId="60173F7E" w14:textId="77777777" w:rsidR="001E27FF" w:rsidRPr="001E27FF" w:rsidRDefault="001E27FF" w:rsidP="001E2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3F7F" w14:textId="77777777" w:rsidR="00D14D81" w:rsidRPr="000503C5" w:rsidRDefault="00D14D81" w:rsidP="00947A18">
    <w:pPr>
      <w:pStyle w:val="Footer"/>
      <w:pBdr>
        <w:bottom w:val="single" w:sz="4" w:space="1" w:color="auto"/>
      </w:pBdr>
      <w:ind w:right="26"/>
      <w:rPr>
        <w:rFonts w:cs="Calibri"/>
        <w:b/>
      </w:rPr>
    </w:pPr>
  </w:p>
  <w:p w14:paraId="60173F80" w14:textId="77777777" w:rsidR="00D14D81" w:rsidRPr="000503C5" w:rsidRDefault="00D14D81" w:rsidP="00947A18">
    <w:pPr>
      <w:pStyle w:val="Footer"/>
      <w:tabs>
        <w:tab w:val="right" w:pos="9000"/>
      </w:tabs>
      <w:ind w:right="26"/>
      <w:rPr>
        <w:rFonts w:cs="Calibri"/>
        <w:bCs/>
        <w:sz w:val="24"/>
      </w:rPr>
    </w:pPr>
  </w:p>
  <w:p w14:paraId="60173F81" w14:textId="77777777" w:rsidR="00D14D81" w:rsidRPr="000503C5" w:rsidRDefault="00D14D81" w:rsidP="00947A18">
    <w:pPr>
      <w:pStyle w:val="Footer"/>
      <w:tabs>
        <w:tab w:val="clear" w:pos="4320"/>
        <w:tab w:val="clear" w:pos="8640"/>
        <w:tab w:val="left" w:pos="720"/>
      </w:tabs>
      <w:ind w:left="2160" w:hanging="2160"/>
      <w:jc w:val="both"/>
      <w:rPr>
        <w:rFonts w:cs="Calibri"/>
        <w:bCs/>
        <w:sz w:val="24"/>
      </w:rPr>
    </w:pPr>
    <w:r w:rsidRPr="000503C5">
      <w:rPr>
        <w:rFonts w:cs="Calibri"/>
        <w:bCs/>
        <w:sz w:val="24"/>
      </w:rPr>
      <w:t>Prepared by:</w:t>
    </w:r>
    <w:r w:rsidRPr="000503C5">
      <w:rPr>
        <w:rFonts w:cs="Calibri"/>
        <w:bCs/>
        <w:sz w:val="24"/>
      </w:rPr>
      <w:tab/>
      <w:t>Name of officer</w:t>
    </w:r>
    <w:r>
      <w:rPr>
        <w:rFonts w:cs="Calibri"/>
        <w:bCs/>
        <w:sz w:val="24"/>
      </w:rPr>
      <w:t xml:space="preserve"> (x1234)</w:t>
    </w:r>
    <w:r>
      <w:rPr>
        <w:rFonts w:cs="Calibri"/>
        <w:bCs/>
        <w:sz w:val="24"/>
      </w:rPr>
      <w:tab/>
    </w:r>
    <w:r>
      <w:rPr>
        <w:rFonts w:cs="Calibri"/>
        <w:bCs/>
        <w:sz w:val="24"/>
      </w:rPr>
      <w:tab/>
    </w:r>
    <w:r w:rsidRPr="000503C5">
      <w:rPr>
        <w:rFonts w:cs="Calibri"/>
        <w:bCs/>
        <w:sz w:val="24"/>
      </w:rPr>
      <w:t>Designation (Department)</w:t>
    </w:r>
  </w:p>
  <w:p w14:paraId="60173F82" w14:textId="77777777" w:rsidR="00D14D81" w:rsidRPr="000503C5" w:rsidRDefault="00D14D81" w:rsidP="00947A18">
    <w:pPr>
      <w:pStyle w:val="Footer"/>
      <w:tabs>
        <w:tab w:val="clear" w:pos="4320"/>
        <w:tab w:val="clear" w:pos="8640"/>
        <w:tab w:val="left" w:pos="720"/>
      </w:tabs>
      <w:ind w:left="2160"/>
      <w:jc w:val="both"/>
      <w:rPr>
        <w:rFonts w:cs="Calibri"/>
        <w:bCs/>
        <w:sz w:val="24"/>
      </w:rPr>
    </w:pP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3" w14:textId="77777777" w:rsidR="00D14D81" w:rsidRPr="000503C5" w:rsidRDefault="00D14D81" w:rsidP="00947A18">
    <w:pPr>
      <w:pStyle w:val="Footer"/>
      <w:tabs>
        <w:tab w:val="clear" w:pos="4320"/>
        <w:tab w:val="clear" w:pos="8640"/>
        <w:tab w:val="left" w:pos="720"/>
      </w:tabs>
      <w:jc w:val="both"/>
      <w:rPr>
        <w:rFonts w:cs="Calibri"/>
        <w:bCs/>
        <w:sz w:val="24"/>
      </w:rPr>
    </w:pPr>
  </w:p>
  <w:p w14:paraId="60173F84" w14:textId="77777777" w:rsidR="00D14D81" w:rsidRPr="000503C5" w:rsidRDefault="00D14D81" w:rsidP="00947A18">
    <w:pPr>
      <w:pStyle w:val="Footer"/>
      <w:tabs>
        <w:tab w:val="clear" w:pos="4320"/>
        <w:tab w:val="clear" w:pos="8640"/>
        <w:tab w:val="left" w:pos="720"/>
      </w:tabs>
      <w:jc w:val="both"/>
      <w:rPr>
        <w:rFonts w:cs="Calibri"/>
        <w:bCs/>
        <w:sz w:val="24"/>
      </w:rPr>
    </w:pPr>
    <w:r>
      <w:rPr>
        <w:rFonts w:cs="Calibri"/>
        <w:bCs/>
        <w:sz w:val="24"/>
      </w:rPr>
      <w:t>With inputs from:</w:t>
    </w:r>
    <w:r>
      <w:rPr>
        <w:rFonts w:cs="Calibri"/>
        <w:bCs/>
        <w:sz w:val="24"/>
      </w:rPr>
      <w:tab/>
    </w:r>
    <w:r w:rsidRPr="000503C5">
      <w:rPr>
        <w:rFonts w:cs="Calibri"/>
        <w:bCs/>
        <w:sz w:val="24"/>
      </w:rPr>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5" w14:textId="77777777" w:rsidR="00D14D81" w:rsidRPr="000503C5" w:rsidRDefault="00D14D81" w:rsidP="00947A18">
    <w:pPr>
      <w:pStyle w:val="Footer"/>
      <w:tabs>
        <w:tab w:val="clear" w:pos="4320"/>
        <w:tab w:val="clear" w:pos="8640"/>
        <w:tab w:val="left" w:pos="720"/>
      </w:tabs>
      <w:jc w:val="both"/>
      <w:rPr>
        <w:rFonts w:cs="Calibri"/>
        <w:bCs/>
        <w:sz w:val="24"/>
      </w:rPr>
    </w:pPr>
  </w:p>
  <w:p w14:paraId="60173F86"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Reviewed by:</w:t>
    </w:r>
    <w:r w:rsidRPr="000503C5">
      <w:rPr>
        <w:rFonts w:cs="Calibri"/>
        <w:bCs/>
        <w:sz w:val="24"/>
      </w:rPr>
      <w:tab/>
    </w:r>
    <w:r w:rsidRPr="000503C5">
      <w:rPr>
        <w:rFonts w:cs="Calibri"/>
        <w:bCs/>
        <w:sz w:val="24"/>
      </w:rPr>
      <w:tab/>
      <w:t>Name of officer</w:t>
    </w:r>
    <w:r>
      <w:rPr>
        <w:rFonts w:cs="Calibri"/>
        <w:bCs/>
        <w:sz w:val="24"/>
      </w:rPr>
      <w:t xml:space="preserve"> (x1234)</w:t>
    </w:r>
    <w:r w:rsidRPr="000503C5">
      <w:rPr>
        <w:rFonts w:cs="Calibri"/>
        <w:bCs/>
        <w:sz w:val="24"/>
      </w:rPr>
      <w:tab/>
    </w:r>
    <w:r w:rsidRPr="000503C5">
      <w:rPr>
        <w:rFonts w:cs="Calibri"/>
        <w:bCs/>
        <w:sz w:val="24"/>
      </w:rPr>
      <w:tab/>
      <w:t>Designation (Department)</w:t>
    </w:r>
  </w:p>
  <w:p w14:paraId="60173F87" w14:textId="77777777" w:rsidR="00D14D81" w:rsidRPr="000503C5" w:rsidRDefault="00D14D81" w:rsidP="00947A18">
    <w:pPr>
      <w:pStyle w:val="Footer"/>
      <w:tabs>
        <w:tab w:val="clear" w:pos="4320"/>
        <w:tab w:val="clear" w:pos="8640"/>
        <w:tab w:val="left" w:pos="720"/>
      </w:tabs>
      <w:jc w:val="both"/>
      <w:rPr>
        <w:rFonts w:cs="Calibri"/>
        <w:bCs/>
        <w:sz w:val="24"/>
      </w:rPr>
    </w:pPr>
  </w:p>
  <w:p w14:paraId="60173F88" w14:textId="77777777" w:rsidR="00D14D81" w:rsidRPr="000503C5" w:rsidRDefault="00D14D81" w:rsidP="00947A18">
    <w:pPr>
      <w:pStyle w:val="Footer"/>
      <w:tabs>
        <w:tab w:val="clear" w:pos="4320"/>
        <w:tab w:val="clear" w:pos="8640"/>
        <w:tab w:val="left" w:pos="720"/>
      </w:tabs>
      <w:jc w:val="both"/>
      <w:rPr>
        <w:rFonts w:cs="Calibri"/>
        <w:bCs/>
        <w:sz w:val="24"/>
      </w:rPr>
    </w:pPr>
    <w:r w:rsidRPr="000503C5">
      <w:rPr>
        <w:rFonts w:cs="Calibri"/>
        <w:bCs/>
        <w:sz w:val="24"/>
      </w:rPr>
      <w:t>Date:</w:t>
    </w:r>
    <w:r w:rsidRPr="000503C5">
      <w:rPr>
        <w:rFonts w:cs="Calibri"/>
        <w:bCs/>
        <w:sz w:val="24"/>
      </w:rPr>
      <w:tab/>
    </w:r>
    <w:r w:rsidRPr="000503C5">
      <w:rPr>
        <w:rFonts w:cs="Calibri"/>
        <w:bCs/>
        <w:sz w:val="24"/>
      </w:rPr>
      <w:tab/>
    </w:r>
    <w:r w:rsidRPr="000503C5">
      <w:rPr>
        <w:rFonts w:cs="Calibri"/>
        <w:bCs/>
        <w:sz w:val="24"/>
      </w:rPr>
      <w:tab/>
      <w:t>DD MMM YYYY</w:t>
    </w:r>
  </w:p>
  <w:p w14:paraId="60173F89" w14:textId="77777777" w:rsidR="00D14D81" w:rsidRPr="000503C5" w:rsidRDefault="00D14D81" w:rsidP="00947A18">
    <w:pPr>
      <w:pStyle w:val="Footer"/>
      <w:jc w:val="both"/>
      <w:rPr>
        <w:rFonts w:cs="Calibri"/>
        <w:bCs/>
        <w:sz w:val="24"/>
      </w:rPr>
    </w:pPr>
  </w:p>
  <w:p w14:paraId="60173F8A" w14:textId="77777777" w:rsidR="00D14D81" w:rsidRPr="000503C5" w:rsidRDefault="00D14D81" w:rsidP="00947A18">
    <w:pPr>
      <w:pStyle w:val="Footer"/>
      <w:jc w:val="both"/>
      <w:rPr>
        <w:rFonts w:cs="Calibri"/>
        <w:bCs/>
        <w:sz w:val="24"/>
      </w:rPr>
    </w:pPr>
  </w:p>
  <w:p w14:paraId="60173F8B" w14:textId="77777777" w:rsidR="00D14D81" w:rsidRPr="002A6D9C" w:rsidRDefault="00D14D81" w:rsidP="00947A18">
    <w:pPr>
      <w:pStyle w:val="Footer"/>
      <w:jc w:val="both"/>
      <w:rPr>
        <w:rFonts w:cs="Calibri"/>
        <w:b/>
        <w:bCs/>
        <w:sz w:val="24"/>
      </w:rPr>
    </w:pPr>
    <w:r>
      <w:rPr>
        <w:rFonts w:cs="Calibri"/>
        <w:b/>
        <w:bCs/>
        <w:sz w:val="24"/>
      </w:rPr>
      <w:t>NAME OF DEPARTMENT IN BOLD CAPS</w:t>
    </w:r>
    <w:r w:rsidRPr="002A6D9C">
      <w:rPr>
        <w:rFonts w:cs="Calibri"/>
        <w:b/>
        <w:bCs/>
        <w:sz w:val="24"/>
      </w:rPr>
      <w:t xml:space="preserve"> </w:t>
    </w:r>
  </w:p>
  <w:p w14:paraId="60173F8C" w14:textId="77777777" w:rsidR="00D14D81" w:rsidRPr="000503C5" w:rsidRDefault="00D14D81" w:rsidP="00947A18">
    <w:pPr>
      <w:pStyle w:val="Footer"/>
      <w:jc w:val="both"/>
      <w:rPr>
        <w:rFonts w:cs="Calibri"/>
        <w:b/>
      </w:rPr>
    </w:pPr>
  </w:p>
  <w:p w14:paraId="60173F8D" w14:textId="77777777" w:rsidR="00D14D81" w:rsidRPr="000503C5" w:rsidRDefault="00D14D81" w:rsidP="00947A18">
    <w:pPr>
      <w:pStyle w:val="Footer"/>
      <w:jc w:val="center"/>
      <w:rPr>
        <w:rFonts w:cs="Calibri"/>
        <w:sz w:val="20"/>
      </w:rPr>
    </w:pPr>
    <w:r w:rsidRPr="000503C5">
      <w:rPr>
        <w:rFonts w:cs="Calibri"/>
        <w:b/>
        <w:bCs/>
        <w:sz w:val="24"/>
      </w:rPr>
      <w:t>CONFIDENTIAL</w:t>
    </w:r>
  </w:p>
  <w:p w14:paraId="60173F8E" w14:textId="77777777" w:rsidR="00D14D81" w:rsidRDefault="00D14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46C96" w14:textId="77777777" w:rsidR="008D0F48" w:rsidRDefault="008D0F48" w:rsidP="00EA1935">
      <w:r>
        <w:separator/>
      </w:r>
    </w:p>
    <w:p w14:paraId="47F6B160" w14:textId="77777777" w:rsidR="008D0F48" w:rsidRDefault="008D0F48"/>
  </w:footnote>
  <w:footnote w:type="continuationSeparator" w:id="0">
    <w:p w14:paraId="2EB20A65" w14:textId="77777777" w:rsidR="008D0F48" w:rsidRDefault="008D0F48" w:rsidP="00EA1935">
      <w:r>
        <w:continuationSeparator/>
      </w:r>
    </w:p>
    <w:p w14:paraId="7F459EAD" w14:textId="77777777" w:rsidR="008D0F48" w:rsidRDefault="008D0F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2440"/>
    <w:multiLevelType w:val="singleLevel"/>
    <w:tmpl w:val="3868470E"/>
    <w:lvl w:ilvl="0">
      <w:start w:val="1"/>
      <w:numFmt w:val="bullet"/>
      <w:pStyle w:val="BulletedPoint"/>
      <w:lvlText w:val=""/>
      <w:lvlJc w:val="left"/>
      <w:pPr>
        <w:tabs>
          <w:tab w:val="num" w:pos="1440"/>
        </w:tabs>
        <w:ind w:left="1440" w:hanging="720"/>
      </w:pPr>
      <w:rPr>
        <w:rFonts w:ascii="Symbol" w:hAnsi="Symbol" w:hint="default"/>
      </w:rPr>
    </w:lvl>
  </w:abstractNum>
  <w:abstractNum w:abstractNumId="1" w15:restartNumberingAfterBreak="0">
    <w:nsid w:val="18A2406B"/>
    <w:multiLevelType w:val="hybridMultilevel"/>
    <w:tmpl w:val="1684401E"/>
    <w:lvl w:ilvl="0" w:tplc="57FCB1E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8E2D79"/>
    <w:multiLevelType w:val="hybridMultilevel"/>
    <w:tmpl w:val="8A52DE22"/>
    <w:lvl w:ilvl="0" w:tplc="6DFE2AF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22E60B26"/>
    <w:multiLevelType w:val="multilevel"/>
    <w:tmpl w:val="9D60D3D6"/>
    <w:lvl w:ilvl="0">
      <w:start w:val="1"/>
      <w:numFmt w:val="decimal"/>
      <w:pStyle w:val="Heading1"/>
      <w:lvlText w:val="%1"/>
      <w:lvlJc w:val="left"/>
      <w:pPr>
        <w:ind w:left="0" w:firstLine="0"/>
      </w:pPr>
      <w:rPr>
        <w:rFonts w:hint="default"/>
      </w:rPr>
    </w:lvl>
    <w:lvl w:ilvl="1">
      <w:start w:val="1"/>
      <w:numFmt w:val="decimal"/>
      <w:pStyle w:val="BodyText1"/>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7BA3DFB"/>
    <w:multiLevelType w:val="hybridMultilevel"/>
    <w:tmpl w:val="97FE5EFE"/>
    <w:lvl w:ilvl="0" w:tplc="CEF2ADA2">
      <w:start w:val="1"/>
      <w:numFmt w:val="decimal"/>
      <w:pStyle w:val="Questions"/>
      <w:lvlText w:val="Question %1."/>
      <w:lvlJc w:val="left"/>
      <w:pPr>
        <w:ind w:left="720" w:hanging="360"/>
      </w:pPr>
      <w:rPr>
        <w:rFonts w:ascii="Calibri" w:hAnsi="Calibri" w:hint="default"/>
        <w:b/>
        <w:i w:val="0"/>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307823DB"/>
    <w:multiLevelType w:val="hybridMultilevel"/>
    <w:tmpl w:val="AAC00E6E"/>
    <w:lvl w:ilvl="0" w:tplc="852EB62E">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3C111FEF"/>
    <w:multiLevelType w:val="hybridMultilevel"/>
    <w:tmpl w:val="7FFA183E"/>
    <w:lvl w:ilvl="0" w:tplc="790E741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FD0C4C"/>
    <w:multiLevelType w:val="hybridMultilevel"/>
    <w:tmpl w:val="33A483FE"/>
    <w:lvl w:ilvl="0" w:tplc="5198C366">
      <w:start w:val="1"/>
      <w:numFmt w:val="bullet"/>
      <w:pStyle w:val="Sub-bulletedpoint"/>
      <w:lvlText w:val="-"/>
      <w:lvlJc w:val="left"/>
      <w:pPr>
        <w:tabs>
          <w:tab w:val="num" w:pos="1800"/>
        </w:tabs>
        <w:ind w:left="180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560E97"/>
    <w:multiLevelType w:val="multilevel"/>
    <w:tmpl w:val="30E65548"/>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6617655"/>
    <w:multiLevelType w:val="multilevel"/>
    <w:tmpl w:val="D32CB5F2"/>
    <w:lvl w:ilvl="0">
      <w:start w:val="1"/>
      <w:numFmt w:val="lowerLetter"/>
      <w:pStyle w:val="BodyText2"/>
      <w:lvlText w:val="(%1)"/>
      <w:lvlJc w:val="left"/>
      <w:pPr>
        <w:tabs>
          <w:tab w:val="num" w:pos="1584"/>
        </w:tabs>
        <w:ind w:left="1584" w:hanging="720"/>
      </w:pPr>
      <w:rPr>
        <w:rFonts w:ascii="Calibri" w:hAnsi="Calibri" w:cs="Calibri" w:hint="default"/>
        <w:b w:val="0"/>
        <w:i w:val="0"/>
        <w:sz w:val="28"/>
      </w:rPr>
    </w:lvl>
    <w:lvl w:ilvl="1">
      <w:start w:val="1"/>
      <w:numFmt w:val="lowerRoman"/>
      <w:lvlText w:val="%2."/>
      <w:lvlJc w:val="right"/>
      <w:pPr>
        <w:tabs>
          <w:tab w:val="num" w:pos="1584"/>
        </w:tabs>
        <w:ind w:left="1584" w:hanging="360"/>
      </w:pPr>
      <w:rPr>
        <w:rFonts w:hint="default"/>
      </w:rPr>
    </w:lvl>
    <w:lvl w:ilvl="2">
      <w:start w:val="1"/>
      <w:numFmt w:val="lowerRoman"/>
      <w:lvlText w:val="%3)"/>
      <w:lvlJc w:val="left"/>
      <w:pPr>
        <w:tabs>
          <w:tab w:val="num" w:pos="1944"/>
        </w:tabs>
        <w:ind w:left="1944" w:hanging="360"/>
      </w:pPr>
      <w:rPr>
        <w:rFonts w:hint="default"/>
      </w:rPr>
    </w:lvl>
    <w:lvl w:ilvl="3">
      <w:start w:val="1"/>
      <w:numFmt w:val="decimal"/>
      <w:lvlText w:val="(%4)"/>
      <w:lvlJc w:val="left"/>
      <w:pPr>
        <w:tabs>
          <w:tab w:val="num" w:pos="2304"/>
        </w:tabs>
        <w:ind w:left="2304" w:hanging="360"/>
      </w:pPr>
      <w:rPr>
        <w:rFonts w:hint="default"/>
      </w:rPr>
    </w:lvl>
    <w:lvl w:ilvl="4">
      <w:start w:val="1"/>
      <w:numFmt w:val="lowerLetter"/>
      <w:lvlText w:val="(%5)"/>
      <w:lvlJc w:val="left"/>
      <w:pPr>
        <w:tabs>
          <w:tab w:val="num" w:pos="2664"/>
        </w:tabs>
        <w:ind w:left="2664" w:hanging="360"/>
      </w:pPr>
      <w:rPr>
        <w:rFonts w:hint="default"/>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0" w15:restartNumberingAfterBreak="0">
    <w:nsid w:val="69B46ED2"/>
    <w:multiLevelType w:val="hybridMultilevel"/>
    <w:tmpl w:val="41389672"/>
    <w:lvl w:ilvl="0" w:tplc="02A61B2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86E7B"/>
    <w:multiLevelType w:val="hybridMultilevel"/>
    <w:tmpl w:val="DDD00FAA"/>
    <w:lvl w:ilvl="0" w:tplc="332EB76A">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7F2A3208"/>
    <w:multiLevelType w:val="hybridMultilevel"/>
    <w:tmpl w:val="353CA8E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3" w15:restartNumberingAfterBreak="0">
    <w:nsid w:val="7FA95890"/>
    <w:multiLevelType w:val="hybridMultilevel"/>
    <w:tmpl w:val="AAC00E6E"/>
    <w:lvl w:ilvl="0" w:tplc="852EB62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7"/>
  </w:num>
  <w:num w:numId="3">
    <w:abstractNumId w:val="0"/>
  </w:num>
  <w:num w:numId="4">
    <w:abstractNumId w:val="6"/>
  </w:num>
  <w:num w:numId="5">
    <w:abstractNumId w:val="9"/>
  </w:num>
  <w:num w:numId="6">
    <w:abstractNumId w:val="12"/>
  </w:num>
  <w:num w:numId="7">
    <w:abstractNumId w:val="3"/>
  </w:num>
  <w:num w:numId="8">
    <w:abstractNumId w:val="2"/>
  </w:num>
  <w:num w:numId="9">
    <w:abstractNumId w:val="1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1"/>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M0M7cwN7E0NrYwsTRQ0lEKTi0uzszPAykwqgUA7OxVNSwAAAA="/>
  </w:docVars>
  <w:rsids>
    <w:rsidRoot w:val="00170BFB"/>
    <w:rsid w:val="00002CB3"/>
    <w:rsid w:val="00017E75"/>
    <w:rsid w:val="000463A2"/>
    <w:rsid w:val="000578A3"/>
    <w:rsid w:val="0006453C"/>
    <w:rsid w:val="00065700"/>
    <w:rsid w:val="00084DB9"/>
    <w:rsid w:val="00085A73"/>
    <w:rsid w:val="000920FE"/>
    <w:rsid w:val="00096E14"/>
    <w:rsid w:val="000A5202"/>
    <w:rsid w:val="000C1124"/>
    <w:rsid w:val="000D0EBE"/>
    <w:rsid w:val="000E7595"/>
    <w:rsid w:val="000F48EF"/>
    <w:rsid w:val="000F5C27"/>
    <w:rsid w:val="000F7438"/>
    <w:rsid w:val="00104C84"/>
    <w:rsid w:val="00121085"/>
    <w:rsid w:val="001231F7"/>
    <w:rsid w:val="00140720"/>
    <w:rsid w:val="00170A6F"/>
    <w:rsid w:val="00170BFB"/>
    <w:rsid w:val="00172077"/>
    <w:rsid w:val="001725A1"/>
    <w:rsid w:val="00175B0F"/>
    <w:rsid w:val="00191DEA"/>
    <w:rsid w:val="00193207"/>
    <w:rsid w:val="001944ED"/>
    <w:rsid w:val="001B0D30"/>
    <w:rsid w:val="001B686F"/>
    <w:rsid w:val="001B691D"/>
    <w:rsid w:val="001C1D32"/>
    <w:rsid w:val="001D1F2E"/>
    <w:rsid w:val="001E0502"/>
    <w:rsid w:val="001E27FF"/>
    <w:rsid w:val="00224D1D"/>
    <w:rsid w:val="002340D9"/>
    <w:rsid w:val="00236E47"/>
    <w:rsid w:val="002374F7"/>
    <w:rsid w:val="00261144"/>
    <w:rsid w:val="00273DC9"/>
    <w:rsid w:val="00284453"/>
    <w:rsid w:val="002B0A10"/>
    <w:rsid w:val="002B79D0"/>
    <w:rsid w:val="002C45FA"/>
    <w:rsid w:val="002C663D"/>
    <w:rsid w:val="002D7ED7"/>
    <w:rsid w:val="002E4A49"/>
    <w:rsid w:val="002E7564"/>
    <w:rsid w:val="00362AF7"/>
    <w:rsid w:val="00367D22"/>
    <w:rsid w:val="00395EB5"/>
    <w:rsid w:val="003960A6"/>
    <w:rsid w:val="003A4E9E"/>
    <w:rsid w:val="003A74A4"/>
    <w:rsid w:val="003B3B76"/>
    <w:rsid w:val="003C0C1F"/>
    <w:rsid w:val="003C4CD5"/>
    <w:rsid w:val="003E0C0D"/>
    <w:rsid w:val="003F1B06"/>
    <w:rsid w:val="0040070E"/>
    <w:rsid w:val="00402803"/>
    <w:rsid w:val="0040343A"/>
    <w:rsid w:val="00413623"/>
    <w:rsid w:val="004245DF"/>
    <w:rsid w:val="0043538D"/>
    <w:rsid w:val="00443656"/>
    <w:rsid w:val="00445175"/>
    <w:rsid w:val="0045299E"/>
    <w:rsid w:val="0046386C"/>
    <w:rsid w:val="004654B2"/>
    <w:rsid w:val="00472B69"/>
    <w:rsid w:val="0047567C"/>
    <w:rsid w:val="004763F1"/>
    <w:rsid w:val="00495393"/>
    <w:rsid w:val="004A1C21"/>
    <w:rsid w:val="004D747B"/>
    <w:rsid w:val="004E0F9D"/>
    <w:rsid w:val="004F2DED"/>
    <w:rsid w:val="004F4DDD"/>
    <w:rsid w:val="00512D3F"/>
    <w:rsid w:val="005149EC"/>
    <w:rsid w:val="0053512D"/>
    <w:rsid w:val="00575861"/>
    <w:rsid w:val="005A4D67"/>
    <w:rsid w:val="005C7E27"/>
    <w:rsid w:val="005D5B47"/>
    <w:rsid w:val="005E6F20"/>
    <w:rsid w:val="005F1A6A"/>
    <w:rsid w:val="006032E0"/>
    <w:rsid w:val="0062022F"/>
    <w:rsid w:val="00625DDA"/>
    <w:rsid w:val="00637611"/>
    <w:rsid w:val="006467CC"/>
    <w:rsid w:val="006504DD"/>
    <w:rsid w:val="00655588"/>
    <w:rsid w:val="006959E7"/>
    <w:rsid w:val="006C12F0"/>
    <w:rsid w:val="006D4570"/>
    <w:rsid w:val="006D7451"/>
    <w:rsid w:val="006E1E6A"/>
    <w:rsid w:val="006E2C45"/>
    <w:rsid w:val="006E5511"/>
    <w:rsid w:val="006F2019"/>
    <w:rsid w:val="00731E96"/>
    <w:rsid w:val="007329FF"/>
    <w:rsid w:val="0075282E"/>
    <w:rsid w:val="00755F88"/>
    <w:rsid w:val="00757E99"/>
    <w:rsid w:val="007A41A7"/>
    <w:rsid w:val="007A75C6"/>
    <w:rsid w:val="007E74C4"/>
    <w:rsid w:val="007F5F17"/>
    <w:rsid w:val="00801547"/>
    <w:rsid w:val="00813185"/>
    <w:rsid w:val="008158AB"/>
    <w:rsid w:val="00830263"/>
    <w:rsid w:val="008302B9"/>
    <w:rsid w:val="0083648C"/>
    <w:rsid w:val="00845C81"/>
    <w:rsid w:val="00867F04"/>
    <w:rsid w:val="0089787D"/>
    <w:rsid w:val="008A1CA3"/>
    <w:rsid w:val="008A34DF"/>
    <w:rsid w:val="008B5E5F"/>
    <w:rsid w:val="008D0F48"/>
    <w:rsid w:val="008E54D9"/>
    <w:rsid w:val="008E590A"/>
    <w:rsid w:val="00903282"/>
    <w:rsid w:val="00932736"/>
    <w:rsid w:val="009460A8"/>
    <w:rsid w:val="00947A18"/>
    <w:rsid w:val="0097719F"/>
    <w:rsid w:val="009A1464"/>
    <w:rsid w:val="009B5B1E"/>
    <w:rsid w:val="009C1790"/>
    <w:rsid w:val="009F2517"/>
    <w:rsid w:val="009F2E22"/>
    <w:rsid w:val="00A1251A"/>
    <w:rsid w:val="00A533FA"/>
    <w:rsid w:val="00A55749"/>
    <w:rsid w:val="00A73A6A"/>
    <w:rsid w:val="00A764EA"/>
    <w:rsid w:val="00A824F0"/>
    <w:rsid w:val="00A940C5"/>
    <w:rsid w:val="00AA01E6"/>
    <w:rsid w:val="00AA0D5D"/>
    <w:rsid w:val="00AA6C5A"/>
    <w:rsid w:val="00AD3DDF"/>
    <w:rsid w:val="00B00532"/>
    <w:rsid w:val="00B04603"/>
    <w:rsid w:val="00B05241"/>
    <w:rsid w:val="00B115A3"/>
    <w:rsid w:val="00B162D2"/>
    <w:rsid w:val="00B23657"/>
    <w:rsid w:val="00B47A0D"/>
    <w:rsid w:val="00B52D64"/>
    <w:rsid w:val="00B630F1"/>
    <w:rsid w:val="00B639D4"/>
    <w:rsid w:val="00B73631"/>
    <w:rsid w:val="00B87796"/>
    <w:rsid w:val="00BA3789"/>
    <w:rsid w:val="00BA693C"/>
    <w:rsid w:val="00BA7E8D"/>
    <w:rsid w:val="00BC0735"/>
    <w:rsid w:val="00BE55EB"/>
    <w:rsid w:val="00BE6569"/>
    <w:rsid w:val="00BF2489"/>
    <w:rsid w:val="00C17EE3"/>
    <w:rsid w:val="00C20B7D"/>
    <w:rsid w:val="00C24FB5"/>
    <w:rsid w:val="00C61D79"/>
    <w:rsid w:val="00C736B7"/>
    <w:rsid w:val="00C77FBE"/>
    <w:rsid w:val="00C8176D"/>
    <w:rsid w:val="00C84745"/>
    <w:rsid w:val="00C9472A"/>
    <w:rsid w:val="00CB6AD3"/>
    <w:rsid w:val="00CC102C"/>
    <w:rsid w:val="00CC2EAF"/>
    <w:rsid w:val="00CD5BD2"/>
    <w:rsid w:val="00CE6D03"/>
    <w:rsid w:val="00CF7598"/>
    <w:rsid w:val="00D01F0D"/>
    <w:rsid w:val="00D022B1"/>
    <w:rsid w:val="00D04987"/>
    <w:rsid w:val="00D07499"/>
    <w:rsid w:val="00D14D81"/>
    <w:rsid w:val="00D52064"/>
    <w:rsid w:val="00D56C3C"/>
    <w:rsid w:val="00D56CF0"/>
    <w:rsid w:val="00D60F60"/>
    <w:rsid w:val="00D704E9"/>
    <w:rsid w:val="00D7225B"/>
    <w:rsid w:val="00D7290E"/>
    <w:rsid w:val="00D7670F"/>
    <w:rsid w:val="00D7746C"/>
    <w:rsid w:val="00D93A87"/>
    <w:rsid w:val="00D94641"/>
    <w:rsid w:val="00DB1019"/>
    <w:rsid w:val="00DB3CA4"/>
    <w:rsid w:val="00DB4605"/>
    <w:rsid w:val="00E01A78"/>
    <w:rsid w:val="00E172AC"/>
    <w:rsid w:val="00E35DB8"/>
    <w:rsid w:val="00E4602E"/>
    <w:rsid w:val="00E52202"/>
    <w:rsid w:val="00E540ED"/>
    <w:rsid w:val="00E6438D"/>
    <w:rsid w:val="00E95E65"/>
    <w:rsid w:val="00E978DD"/>
    <w:rsid w:val="00EA1935"/>
    <w:rsid w:val="00EE1067"/>
    <w:rsid w:val="00EE42FC"/>
    <w:rsid w:val="00EF1988"/>
    <w:rsid w:val="00F270BB"/>
    <w:rsid w:val="00F308D1"/>
    <w:rsid w:val="00F3669F"/>
    <w:rsid w:val="00F444DD"/>
    <w:rsid w:val="00F56C2E"/>
    <w:rsid w:val="00F57BDF"/>
    <w:rsid w:val="00F614B1"/>
    <w:rsid w:val="00FA1275"/>
    <w:rsid w:val="00FA6D94"/>
    <w:rsid w:val="00FB17CF"/>
    <w:rsid w:val="00FB6510"/>
    <w:rsid w:val="00FE7885"/>
    <w:rsid w:val="00FF76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3F1C"/>
  <w15:docId w15:val="{1C05D60A-9FC5-40DD-861D-2680F858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BFB"/>
    <w:rPr>
      <w:rFonts w:eastAsiaTheme="minorHAnsi"/>
      <w:lang w:val="en-SG" w:eastAsia="en-US"/>
    </w:rPr>
  </w:style>
  <w:style w:type="paragraph" w:styleId="Heading1">
    <w:name w:val="heading 1"/>
    <w:aliases w:val="Section Heading"/>
    <w:basedOn w:val="Normal"/>
    <w:next w:val="Normal"/>
    <w:link w:val="Heading1Char"/>
    <w:qFormat/>
    <w:rsid w:val="00170BFB"/>
    <w:pPr>
      <w:keepNext/>
      <w:numPr>
        <w:numId w:val="7"/>
      </w:numPr>
      <w:tabs>
        <w:tab w:val="left" w:pos="851"/>
      </w:tabs>
      <w:spacing w:before="360" w:after="0" w:line="240" w:lineRule="auto"/>
      <w:jc w:val="both"/>
      <w:outlineLvl w:val="0"/>
    </w:pPr>
    <w:rPr>
      <w:b/>
      <w:bCs/>
      <w:kern w:val="32"/>
      <w:sz w:val="28"/>
      <w:szCs w:val="32"/>
      <w:lang w:val="en-GB"/>
    </w:rPr>
  </w:style>
  <w:style w:type="paragraph" w:styleId="Heading2">
    <w:name w:val="heading 2"/>
    <w:aliases w:val="Sub-section Heading"/>
    <w:basedOn w:val="Heading1"/>
    <w:link w:val="Heading2Char"/>
    <w:qFormat/>
    <w:rsid w:val="004763F1"/>
    <w:pPr>
      <w:numPr>
        <w:numId w:val="0"/>
      </w:numPr>
      <w:tabs>
        <w:tab w:val="clear" w:pos="851"/>
      </w:tabs>
      <w:spacing w:before="240"/>
      <w:ind w:left="851"/>
      <w:jc w:val="left"/>
      <w:outlineLvl w:val="1"/>
    </w:pPr>
    <w:rPr>
      <w:b w:val="0"/>
      <w:bCs w:val="0"/>
      <w:iCs/>
      <w:szCs w:val="28"/>
      <w:u w:val="single"/>
    </w:rPr>
  </w:style>
  <w:style w:type="paragraph" w:styleId="Heading3">
    <w:name w:val="heading 3"/>
    <w:aliases w:val="Sub-sub-section Heading"/>
    <w:basedOn w:val="Normal"/>
    <w:next w:val="Normal"/>
    <w:link w:val="Heading3Char"/>
    <w:qFormat/>
    <w:rsid w:val="00C61D79"/>
    <w:pPr>
      <w:keepNext/>
      <w:spacing w:before="240" w:after="60" w:line="312" w:lineRule="auto"/>
      <w:ind w:left="851"/>
      <w:jc w:val="both"/>
      <w:outlineLvl w:val="2"/>
    </w:pPr>
    <w:rPr>
      <w:bCs/>
      <w:i/>
      <w:sz w:val="24"/>
      <w:szCs w:val="26"/>
    </w:rPr>
  </w:style>
  <w:style w:type="paragraph" w:styleId="Heading4">
    <w:name w:val="heading 4"/>
    <w:basedOn w:val="Normal"/>
    <w:next w:val="Normal"/>
    <w:link w:val="Heading4Char"/>
    <w:uiPriority w:val="9"/>
    <w:semiHidden/>
    <w:unhideWhenUsed/>
    <w:qFormat/>
    <w:rsid w:val="000F48EF"/>
    <w:pPr>
      <w:keepNext/>
      <w:keepLines/>
      <w:spacing w:before="20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170BFB"/>
    <w:rPr>
      <w:rFonts w:eastAsiaTheme="minorHAnsi"/>
      <w:b/>
      <w:bCs/>
      <w:kern w:val="32"/>
      <w:sz w:val="28"/>
      <w:szCs w:val="32"/>
      <w:lang w:eastAsia="en-US"/>
    </w:rPr>
  </w:style>
  <w:style w:type="character" w:customStyle="1" w:styleId="Heading2Char">
    <w:name w:val="Heading 2 Char"/>
    <w:aliases w:val="Sub-section Heading Char"/>
    <w:basedOn w:val="DefaultParagraphFont"/>
    <w:link w:val="Heading2"/>
    <w:rsid w:val="004763F1"/>
    <w:rPr>
      <w:rFonts w:eastAsia="Times New Roman" w:cstheme="minorHAnsi"/>
      <w:iCs/>
      <w:kern w:val="32"/>
      <w:sz w:val="28"/>
      <w:szCs w:val="28"/>
      <w:u w:val="single"/>
      <w:lang w:eastAsia="en-US"/>
    </w:rPr>
  </w:style>
  <w:style w:type="character" w:customStyle="1" w:styleId="Heading3Char">
    <w:name w:val="Heading 3 Char"/>
    <w:aliases w:val="Sub-sub-section Heading Char"/>
    <w:basedOn w:val="DefaultParagraphFont"/>
    <w:link w:val="Heading3"/>
    <w:rsid w:val="00C61D79"/>
    <w:rPr>
      <w:rFonts w:eastAsiaTheme="minorHAnsi"/>
      <w:bCs/>
      <w:i/>
      <w:sz w:val="24"/>
      <w:szCs w:val="26"/>
      <w:lang w:val="en-SG" w:eastAsia="en-US"/>
    </w:rPr>
  </w:style>
  <w:style w:type="paragraph" w:styleId="Title">
    <w:name w:val="Title"/>
    <w:basedOn w:val="TITLEOFANNEX"/>
    <w:link w:val="TitleChar"/>
    <w:qFormat/>
    <w:rsid w:val="00EA1935"/>
    <w:pPr>
      <w:spacing w:before="0" w:after="0"/>
    </w:pPr>
    <w:rPr>
      <w:bCs/>
    </w:rPr>
  </w:style>
  <w:style w:type="character" w:customStyle="1" w:styleId="TitleChar">
    <w:name w:val="Title Char"/>
    <w:basedOn w:val="DefaultParagraphFont"/>
    <w:link w:val="Title"/>
    <w:rsid w:val="00EA1935"/>
    <w:rPr>
      <w:rFonts w:ascii="Calibri" w:eastAsia="Times New Roman" w:hAnsi="Calibri" w:cs="Arial"/>
      <w:b/>
      <w:bCs/>
      <w:caps/>
      <w:sz w:val="28"/>
      <w:szCs w:val="24"/>
      <w:lang w:val="en-US" w:eastAsia="en-US"/>
    </w:rPr>
  </w:style>
  <w:style w:type="paragraph" w:customStyle="1" w:styleId="TITLEOFANNEX">
    <w:name w:val="TITLE OF ANNEX"/>
    <w:basedOn w:val="Sub-Title"/>
    <w:autoRedefine/>
    <w:rsid w:val="00C61D79"/>
    <w:pPr>
      <w:spacing w:before="180" w:after="180" w:line="312" w:lineRule="auto"/>
    </w:pPr>
    <w:rPr>
      <w:caps/>
      <w:sz w:val="28"/>
    </w:rPr>
  </w:style>
  <w:style w:type="paragraph" w:customStyle="1" w:styleId="Sub-Title">
    <w:name w:val="Sub-Title"/>
    <w:basedOn w:val="Normal"/>
    <w:autoRedefine/>
    <w:qFormat/>
    <w:rsid w:val="00EA1935"/>
    <w:pPr>
      <w:jc w:val="center"/>
      <w:outlineLvl w:val="1"/>
    </w:pPr>
    <w:rPr>
      <w:rFonts w:cs="Arial"/>
      <w:b/>
    </w:rPr>
  </w:style>
  <w:style w:type="paragraph" w:styleId="Footer">
    <w:name w:val="footer"/>
    <w:basedOn w:val="Normal"/>
    <w:link w:val="FooterChar"/>
    <w:uiPriority w:val="99"/>
    <w:rsid w:val="001B686F"/>
    <w:pPr>
      <w:tabs>
        <w:tab w:val="center" w:pos="4320"/>
        <w:tab w:val="right" w:pos="8640"/>
      </w:tabs>
      <w:spacing w:line="240" w:lineRule="auto"/>
    </w:pPr>
  </w:style>
  <w:style w:type="character" w:customStyle="1" w:styleId="FooterChar">
    <w:name w:val="Footer Char"/>
    <w:basedOn w:val="DefaultParagraphFont"/>
    <w:link w:val="Footer"/>
    <w:uiPriority w:val="99"/>
    <w:rsid w:val="001B686F"/>
    <w:rPr>
      <w:rFonts w:ascii="Calibri" w:eastAsia="Times New Roman" w:hAnsi="Calibri" w:cstheme="minorHAnsi"/>
      <w:sz w:val="28"/>
      <w:szCs w:val="24"/>
      <w:lang w:val="en-US" w:eastAsia="en-US"/>
    </w:rPr>
  </w:style>
  <w:style w:type="paragraph" w:styleId="FootnoteText">
    <w:name w:val="footnote text"/>
    <w:basedOn w:val="Normal"/>
    <w:link w:val="FootnoteTextChar"/>
    <w:qFormat/>
    <w:rsid w:val="001B686F"/>
    <w:pPr>
      <w:tabs>
        <w:tab w:val="left" w:pos="288"/>
      </w:tabs>
      <w:spacing w:before="60" w:after="60" w:line="240" w:lineRule="auto"/>
      <w:jc w:val="both"/>
    </w:pPr>
    <w:rPr>
      <w:sz w:val="20"/>
      <w:szCs w:val="20"/>
    </w:rPr>
  </w:style>
  <w:style w:type="character" w:customStyle="1" w:styleId="FootnoteTextChar">
    <w:name w:val="Footnote Text Char"/>
    <w:basedOn w:val="DefaultParagraphFont"/>
    <w:link w:val="FootnoteText"/>
    <w:rsid w:val="001B686F"/>
    <w:rPr>
      <w:rFonts w:ascii="Calibri" w:eastAsia="Times New Roman" w:hAnsi="Calibri" w:cstheme="minorHAnsi"/>
      <w:sz w:val="20"/>
      <w:szCs w:val="20"/>
      <w:lang w:val="en-US" w:eastAsia="en-US"/>
    </w:rPr>
  </w:style>
  <w:style w:type="character" w:styleId="FootnoteReference">
    <w:name w:val="footnote reference"/>
    <w:basedOn w:val="DefaultParagraphFont"/>
    <w:rsid w:val="00EA1935"/>
    <w:rPr>
      <w:vertAlign w:val="superscript"/>
    </w:rPr>
  </w:style>
  <w:style w:type="character" w:styleId="PageNumber">
    <w:name w:val="page number"/>
    <w:basedOn w:val="DefaultParagraphFont"/>
    <w:semiHidden/>
    <w:rsid w:val="00EA1935"/>
    <w:rPr>
      <w:sz w:val="24"/>
    </w:rPr>
  </w:style>
  <w:style w:type="paragraph" w:customStyle="1" w:styleId="Annex">
    <w:name w:val="Annex #"/>
    <w:basedOn w:val="Normal"/>
    <w:autoRedefine/>
    <w:rsid w:val="00C61D79"/>
    <w:pPr>
      <w:spacing w:before="240" w:after="360" w:line="312" w:lineRule="auto"/>
      <w:jc w:val="right"/>
      <w:outlineLvl w:val="5"/>
    </w:pPr>
    <w:rPr>
      <w:b/>
      <w:sz w:val="28"/>
      <w:szCs w:val="20"/>
      <w:lang w:val="en-GB"/>
    </w:rPr>
  </w:style>
  <w:style w:type="paragraph" w:styleId="BodyText2">
    <w:name w:val="Body Text 2"/>
    <w:aliases w:val="Lettered List"/>
    <w:basedOn w:val="Normal"/>
    <w:link w:val="BodyText2Char"/>
    <w:qFormat/>
    <w:rsid w:val="004763F1"/>
    <w:pPr>
      <w:numPr>
        <w:numId w:val="5"/>
      </w:numPr>
      <w:spacing w:before="240"/>
      <w:ind w:left="1582"/>
      <w:contextualSpacing/>
      <w:jc w:val="both"/>
    </w:pPr>
  </w:style>
  <w:style w:type="character" w:customStyle="1" w:styleId="BodyText2Char">
    <w:name w:val="Body Text 2 Char"/>
    <w:aliases w:val="Lettered List Char"/>
    <w:basedOn w:val="DefaultParagraphFont"/>
    <w:link w:val="BodyText2"/>
    <w:rsid w:val="004763F1"/>
    <w:rPr>
      <w:rFonts w:ascii="Calibri" w:eastAsia="Times New Roman" w:hAnsi="Calibri" w:cstheme="minorHAnsi"/>
      <w:sz w:val="28"/>
      <w:szCs w:val="24"/>
      <w:lang w:val="en-US" w:eastAsia="en-US"/>
    </w:rPr>
  </w:style>
  <w:style w:type="paragraph" w:customStyle="1" w:styleId="Sub-bulletedpoint">
    <w:name w:val="Sub-bulleted point"/>
    <w:basedOn w:val="Normal"/>
    <w:autoRedefine/>
    <w:rsid w:val="00EA1935"/>
    <w:pPr>
      <w:numPr>
        <w:numId w:val="2"/>
      </w:numPr>
      <w:tabs>
        <w:tab w:val="clear" w:pos="1800"/>
        <w:tab w:val="left" w:pos="2160"/>
      </w:tabs>
      <w:spacing w:before="120" w:after="60" w:line="312" w:lineRule="auto"/>
      <w:ind w:left="2160" w:hanging="720"/>
    </w:pPr>
    <w:rPr>
      <w:lang w:val="en-GB"/>
    </w:rPr>
  </w:style>
  <w:style w:type="paragraph" w:customStyle="1" w:styleId="BulletedPoint">
    <w:name w:val="Bulleted Point"/>
    <w:autoRedefine/>
    <w:rsid w:val="00EA1935"/>
    <w:pPr>
      <w:numPr>
        <w:numId w:val="3"/>
      </w:numPr>
      <w:spacing w:before="120" w:after="60" w:line="312" w:lineRule="auto"/>
      <w:jc w:val="both"/>
    </w:pPr>
    <w:rPr>
      <w:rFonts w:ascii="Calibri" w:eastAsia="Times New Roman" w:hAnsi="Calibri" w:cstheme="minorHAnsi"/>
      <w:iCs/>
      <w:kern w:val="28"/>
      <w:sz w:val="28"/>
      <w:szCs w:val="24"/>
      <w:lang w:eastAsia="en-US"/>
    </w:rPr>
  </w:style>
  <w:style w:type="paragraph" w:customStyle="1" w:styleId="BodyText1">
    <w:name w:val="Body Text 1"/>
    <w:basedOn w:val="Normal"/>
    <w:qFormat/>
    <w:rsid w:val="00170BFB"/>
    <w:pPr>
      <w:numPr>
        <w:ilvl w:val="1"/>
        <w:numId w:val="7"/>
      </w:numPr>
      <w:tabs>
        <w:tab w:val="left" w:pos="851"/>
      </w:tabs>
      <w:spacing w:before="240"/>
      <w:jc w:val="both"/>
    </w:pPr>
    <w:rPr>
      <w:sz w:val="24"/>
      <w:lang w:val="en-GB"/>
    </w:rPr>
  </w:style>
  <w:style w:type="paragraph" w:styleId="ListParagraph">
    <w:name w:val="List Paragraph"/>
    <w:aliases w:val="Cell bullets"/>
    <w:basedOn w:val="Normal"/>
    <w:link w:val="ListParagraphChar"/>
    <w:uiPriority w:val="34"/>
    <w:rsid w:val="00EA1935"/>
    <w:pPr>
      <w:ind w:left="720"/>
    </w:pPr>
  </w:style>
  <w:style w:type="paragraph" w:styleId="NoSpacing">
    <w:name w:val="No Spacing"/>
    <w:autoRedefine/>
    <w:uiPriority w:val="1"/>
    <w:rsid w:val="000F48EF"/>
    <w:pPr>
      <w:spacing w:after="0" w:line="240" w:lineRule="auto"/>
    </w:pPr>
    <w:rPr>
      <w:rFonts w:ascii="Calibri" w:eastAsia="Times New Roman" w:hAnsi="Calibri" w:cstheme="minorHAnsi"/>
      <w:sz w:val="28"/>
      <w:szCs w:val="24"/>
      <w:lang w:val="en-US" w:eastAsia="en-US"/>
    </w:rPr>
  </w:style>
  <w:style w:type="character" w:customStyle="1" w:styleId="Heading4Char">
    <w:name w:val="Heading 4 Char"/>
    <w:basedOn w:val="DefaultParagraphFont"/>
    <w:link w:val="Heading4"/>
    <w:uiPriority w:val="9"/>
    <w:semiHidden/>
    <w:rsid w:val="000F48EF"/>
    <w:rPr>
      <w:rFonts w:ascii="Calibri" w:eastAsiaTheme="majorEastAsia" w:hAnsi="Calibri" w:cstheme="majorBidi"/>
      <w:bCs/>
      <w:iCs/>
      <w:sz w:val="28"/>
      <w:szCs w:val="24"/>
      <w:lang w:val="en-US" w:eastAsia="en-US"/>
    </w:rPr>
  </w:style>
  <w:style w:type="paragraph" w:styleId="Header">
    <w:name w:val="header"/>
    <w:basedOn w:val="Normal"/>
    <w:link w:val="HeaderChar"/>
    <w:uiPriority w:val="99"/>
    <w:rsid w:val="0046386C"/>
    <w:pPr>
      <w:tabs>
        <w:tab w:val="center" w:pos="4513"/>
        <w:tab w:val="right" w:pos="9026"/>
      </w:tabs>
      <w:spacing w:line="240" w:lineRule="auto"/>
    </w:pPr>
  </w:style>
  <w:style w:type="character" w:customStyle="1" w:styleId="HeaderChar">
    <w:name w:val="Header Char"/>
    <w:basedOn w:val="DefaultParagraphFont"/>
    <w:link w:val="Header"/>
    <w:uiPriority w:val="99"/>
    <w:rsid w:val="0046386C"/>
    <w:rPr>
      <w:rFonts w:ascii="Calibri" w:eastAsia="Times New Roman" w:hAnsi="Calibri" w:cstheme="minorHAnsi"/>
      <w:sz w:val="28"/>
      <w:szCs w:val="24"/>
      <w:lang w:val="en-US" w:eastAsia="en-US"/>
    </w:rPr>
  </w:style>
  <w:style w:type="paragraph" w:styleId="BalloonText">
    <w:name w:val="Balloon Text"/>
    <w:basedOn w:val="Normal"/>
    <w:link w:val="BalloonTextChar"/>
    <w:uiPriority w:val="99"/>
    <w:semiHidden/>
    <w:unhideWhenUsed/>
    <w:rsid w:val="000D0E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BE"/>
    <w:rPr>
      <w:rFonts w:ascii="Tahoma" w:eastAsia="Times New Roman" w:hAnsi="Tahoma" w:cs="Tahoma"/>
      <w:sz w:val="16"/>
      <w:szCs w:val="16"/>
      <w:lang w:val="en-US" w:eastAsia="en-US"/>
    </w:rPr>
  </w:style>
  <w:style w:type="paragraph" w:styleId="BodyText">
    <w:name w:val="Body Text"/>
    <w:basedOn w:val="Normal"/>
    <w:link w:val="BodyTextChar"/>
    <w:semiHidden/>
    <w:unhideWhenUsed/>
    <w:rsid w:val="000920FE"/>
    <w:pPr>
      <w:spacing w:after="120"/>
    </w:pPr>
  </w:style>
  <w:style w:type="character" w:customStyle="1" w:styleId="BodyTextChar">
    <w:name w:val="Body Text Char"/>
    <w:basedOn w:val="DefaultParagraphFont"/>
    <w:link w:val="BodyText"/>
    <w:semiHidden/>
    <w:rsid w:val="000920FE"/>
    <w:rPr>
      <w:rFonts w:ascii="Calibri" w:eastAsia="Times New Roman" w:hAnsi="Calibri" w:cstheme="minorHAnsi"/>
      <w:sz w:val="28"/>
      <w:szCs w:val="24"/>
      <w:lang w:val="en-US" w:eastAsia="en-US"/>
    </w:rPr>
  </w:style>
  <w:style w:type="character" w:styleId="CommentReference">
    <w:name w:val="annotation reference"/>
    <w:basedOn w:val="DefaultParagraphFont"/>
    <w:uiPriority w:val="99"/>
    <w:semiHidden/>
    <w:unhideWhenUsed/>
    <w:rsid w:val="00170BFB"/>
    <w:rPr>
      <w:sz w:val="16"/>
      <w:szCs w:val="16"/>
    </w:rPr>
  </w:style>
  <w:style w:type="paragraph" w:styleId="CommentText">
    <w:name w:val="annotation text"/>
    <w:basedOn w:val="Normal"/>
    <w:link w:val="CommentTextChar"/>
    <w:uiPriority w:val="99"/>
    <w:semiHidden/>
    <w:unhideWhenUsed/>
    <w:rsid w:val="00170BFB"/>
    <w:pPr>
      <w:spacing w:line="240" w:lineRule="auto"/>
    </w:pPr>
    <w:rPr>
      <w:sz w:val="20"/>
      <w:szCs w:val="20"/>
    </w:rPr>
  </w:style>
  <w:style w:type="character" w:customStyle="1" w:styleId="CommentTextChar">
    <w:name w:val="Comment Text Char"/>
    <w:basedOn w:val="DefaultParagraphFont"/>
    <w:link w:val="CommentText"/>
    <w:uiPriority w:val="99"/>
    <w:semiHidden/>
    <w:rsid w:val="00170BFB"/>
    <w:rPr>
      <w:rFonts w:eastAsiaTheme="minorHAnsi"/>
      <w:sz w:val="20"/>
      <w:szCs w:val="20"/>
      <w:lang w:val="en-SG" w:eastAsia="en-US"/>
    </w:rPr>
  </w:style>
  <w:style w:type="table" w:styleId="TableGrid">
    <w:name w:val="Table Grid"/>
    <w:basedOn w:val="TableNormal"/>
    <w:uiPriority w:val="59"/>
    <w:rsid w:val="0017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
    <w:name w:val="Questions"/>
    <w:basedOn w:val="ListParagraph"/>
    <w:link w:val="QuestionsChar"/>
    <w:qFormat/>
    <w:rsid w:val="00AA6C5A"/>
    <w:pPr>
      <w:numPr>
        <w:numId w:val="23"/>
      </w:numPr>
      <w:spacing w:after="0" w:line="240" w:lineRule="auto"/>
      <w:ind w:hanging="720"/>
    </w:pPr>
    <w:rPr>
      <w:lang w:val="en-GB"/>
    </w:rPr>
  </w:style>
  <w:style w:type="paragraph" w:styleId="TableofFigures">
    <w:name w:val="table of figures"/>
    <w:basedOn w:val="Normal"/>
    <w:next w:val="Normal"/>
    <w:uiPriority w:val="99"/>
    <w:unhideWhenUsed/>
    <w:rsid w:val="00AA6C5A"/>
    <w:pPr>
      <w:spacing w:after="0"/>
    </w:pPr>
  </w:style>
  <w:style w:type="character" w:customStyle="1" w:styleId="ListParagraphChar">
    <w:name w:val="List Paragraph Char"/>
    <w:aliases w:val="Cell bullets Char"/>
    <w:basedOn w:val="DefaultParagraphFont"/>
    <w:link w:val="ListParagraph"/>
    <w:uiPriority w:val="34"/>
    <w:rsid w:val="00AA6C5A"/>
    <w:rPr>
      <w:rFonts w:eastAsiaTheme="minorHAnsi"/>
      <w:lang w:val="en-SG" w:eastAsia="en-US"/>
    </w:rPr>
  </w:style>
  <w:style w:type="character" w:customStyle="1" w:styleId="QuestionsChar">
    <w:name w:val="Questions Char"/>
    <w:basedOn w:val="ListParagraphChar"/>
    <w:link w:val="Questions"/>
    <w:rsid w:val="00AA6C5A"/>
    <w:rPr>
      <w:rFonts w:eastAsiaTheme="minorHAnsi"/>
      <w:lang w:val="en-SG" w:eastAsia="en-US"/>
    </w:rPr>
  </w:style>
  <w:style w:type="character" w:styleId="Hyperlink">
    <w:name w:val="Hyperlink"/>
    <w:basedOn w:val="DefaultParagraphFont"/>
    <w:uiPriority w:val="99"/>
    <w:unhideWhenUsed/>
    <w:rsid w:val="00AA6C5A"/>
    <w:rPr>
      <w:color w:val="0000FF" w:themeColor="hyperlink"/>
      <w:u w:val="single"/>
    </w:rPr>
  </w:style>
  <w:style w:type="paragraph" w:styleId="Caption">
    <w:name w:val="caption"/>
    <w:basedOn w:val="Normal"/>
    <w:next w:val="Normal"/>
    <w:uiPriority w:val="35"/>
    <w:unhideWhenUsed/>
    <w:qFormat/>
    <w:rsid w:val="00C84745"/>
    <w:pPr>
      <w:spacing w:line="240" w:lineRule="auto"/>
    </w:pPr>
    <w:rPr>
      <w:b/>
      <w:bCs/>
      <w:color w:val="4F81BD" w:themeColor="accent1"/>
      <w:sz w:val="18"/>
      <w:szCs w:val="18"/>
    </w:rPr>
  </w:style>
  <w:style w:type="paragraph" w:styleId="TOC1">
    <w:name w:val="toc 1"/>
    <w:basedOn w:val="Normal"/>
    <w:next w:val="Normal"/>
    <w:autoRedefine/>
    <w:uiPriority w:val="39"/>
    <w:unhideWhenUsed/>
    <w:rsid w:val="00C61D79"/>
    <w:pPr>
      <w:tabs>
        <w:tab w:val="left" w:pos="1320"/>
        <w:tab w:val="right" w:leader="dot" w:pos="8659"/>
      </w:tabs>
      <w:spacing w:after="100"/>
    </w:pPr>
  </w:style>
  <w:style w:type="paragraph" w:styleId="TOCHeading">
    <w:name w:val="TOC Heading"/>
    <w:basedOn w:val="Heading1"/>
    <w:next w:val="Normal"/>
    <w:uiPriority w:val="39"/>
    <w:semiHidden/>
    <w:unhideWhenUsed/>
    <w:qFormat/>
    <w:rsid w:val="00DB1019"/>
    <w:pPr>
      <w:keepLines/>
      <w:numPr>
        <w:numId w:val="0"/>
      </w:numPr>
      <w:tabs>
        <w:tab w:val="clear" w:pos="851"/>
      </w:tabs>
      <w:spacing w:before="480" w:line="276" w:lineRule="auto"/>
      <w:jc w:val="left"/>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rsid w:val="00DB1019"/>
    <w:pPr>
      <w:spacing w:after="100"/>
      <w:ind w:left="220"/>
    </w:pPr>
  </w:style>
  <w:style w:type="paragraph" w:styleId="TOC3">
    <w:name w:val="toc 3"/>
    <w:basedOn w:val="Normal"/>
    <w:next w:val="Normal"/>
    <w:autoRedefine/>
    <w:uiPriority w:val="39"/>
    <w:unhideWhenUsed/>
    <w:rsid w:val="00DB1019"/>
    <w:pPr>
      <w:spacing w:after="100"/>
      <w:ind w:left="440"/>
    </w:pPr>
  </w:style>
  <w:style w:type="character" w:styleId="PlaceholderText">
    <w:name w:val="Placeholder Text"/>
    <w:basedOn w:val="DefaultParagraphFont"/>
    <w:uiPriority w:val="99"/>
    <w:semiHidden/>
    <w:rsid w:val="00170A6F"/>
    <w:rPr>
      <w:color w:val="808080"/>
    </w:rPr>
  </w:style>
  <w:style w:type="paragraph" w:styleId="CommentSubject">
    <w:name w:val="annotation subject"/>
    <w:basedOn w:val="CommentText"/>
    <w:next w:val="CommentText"/>
    <w:link w:val="CommentSubjectChar"/>
    <w:uiPriority w:val="99"/>
    <w:semiHidden/>
    <w:unhideWhenUsed/>
    <w:rsid w:val="001E27FF"/>
    <w:rPr>
      <w:b/>
      <w:bCs/>
    </w:rPr>
  </w:style>
  <w:style w:type="character" w:customStyle="1" w:styleId="CommentSubjectChar">
    <w:name w:val="Comment Subject Char"/>
    <w:basedOn w:val="CommentTextChar"/>
    <w:link w:val="CommentSubject"/>
    <w:uiPriority w:val="99"/>
    <w:semiHidden/>
    <w:rsid w:val="001E27FF"/>
    <w:rPr>
      <w:rFonts w:eastAsiaTheme="minorHAnsi"/>
      <w:b/>
      <w:bCs/>
      <w:sz w:val="20"/>
      <w:szCs w:val="20"/>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3094">
      <w:bodyDiv w:val="1"/>
      <w:marLeft w:val="0"/>
      <w:marRight w:val="0"/>
      <w:marTop w:val="0"/>
      <w:marBottom w:val="0"/>
      <w:divBdr>
        <w:top w:val="none" w:sz="0" w:space="0" w:color="auto"/>
        <w:left w:val="none" w:sz="0" w:space="0" w:color="auto"/>
        <w:bottom w:val="none" w:sz="0" w:space="0" w:color="auto"/>
        <w:right w:val="none" w:sz="0" w:space="0" w:color="auto"/>
      </w:divBdr>
    </w:div>
    <w:div w:id="497890614">
      <w:bodyDiv w:val="1"/>
      <w:marLeft w:val="0"/>
      <w:marRight w:val="0"/>
      <w:marTop w:val="0"/>
      <w:marBottom w:val="0"/>
      <w:divBdr>
        <w:top w:val="none" w:sz="0" w:space="0" w:color="auto"/>
        <w:left w:val="none" w:sz="0" w:space="0" w:color="auto"/>
        <w:bottom w:val="none" w:sz="0" w:space="0" w:color="auto"/>
        <w:right w:val="none" w:sz="0" w:space="0" w:color="auto"/>
      </w:divBdr>
    </w:div>
    <w:div w:id="531462395">
      <w:bodyDiv w:val="1"/>
      <w:marLeft w:val="0"/>
      <w:marRight w:val="0"/>
      <w:marTop w:val="0"/>
      <w:marBottom w:val="0"/>
      <w:divBdr>
        <w:top w:val="none" w:sz="0" w:space="0" w:color="auto"/>
        <w:left w:val="none" w:sz="0" w:space="0" w:color="auto"/>
        <w:bottom w:val="none" w:sz="0" w:space="0" w:color="auto"/>
        <w:right w:val="none" w:sz="0" w:space="0" w:color="auto"/>
      </w:divBdr>
    </w:div>
    <w:div w:id="1026758582">
      <w:bodyDiv w:val="1"/>
      <w:marLeft w:val="0"/>
      <w:marRight w:val="0"/>
      <w:marTop w:val="0"/>
      <w:marBottom w:val="0"/>
      <w:divBdr>
        <w:top w:val="none" w:sz="0" w:space="0" w:color="auto"/>
        <w:left w:val="none" w:sz="0" w:space="0" w:color="auto"/>
        <w:bottom w:val="none" w:sz="0" w:space="0" w:color="auto"/>
        <w:right w:val="none" w:sz="0" w:space="0" w:color="auto"/>
      </w:divBdr>
    </w:div>
    <w:div w:id="1155875412">
      <w:bodyDiv w:val="1"/>
      <w:marLeft w:val="0"/>
      <w:marRight w:val="0"/>
      <w:marTop w:val="0"/>
      <w:marBottom w:val="0"/>
      <w:divBdr>
        <w:top w:val="none" w:sz="0" w:space="0" w:color="auto"/>
        <w:left w:val="none" w:sz="0" w:space="0" w:color="auto"/>
        <w:bottom w:val="none" w:sz="0" w:space="0" w:color="auto"/>
        <w:right w:val="none" w:sz="0" w:space="0" w:color="auto"/>
      </w:divBdr>
    </w:div>
    <w:div w:id="1268001218">
      <w:bodyDiv w:val="1"/>
      <w:marLeft w:val="0"/>
      <w:marRight w:val="0"/>
      <w:marTop w:val="0"/>
      <w:marBottom w:val="0"/>
      <w:divBdr>
        <w:top w:val="none" w:sz="0" w:space="0" w:color="auto"/>
        <w:left w:val="none" w:sz="0" w:space="0" w:color="auto"/>
        <w:bottom w:val="none" w:sz="0" w:space="0" w:color="auto"/>
        <w:right w:val="none" w:sz="0" w:space="0" w:color="auto"/>
      </w:divBdr>
    </w:div>
    <w:div w:id="1291060486">
      <w:bodyDiv w:val="1"/>
      <w:marLeft w:val="0"/>
      <w:marRight w:val="0"/>
      <w:marTop w:val="0"/>
      <w:marBottom w:val="0"/>
      <w:divBdr>
        <w:top w:val="none" w:sz="0" w:space="0" w:color="auto"/>
        <w:left w:val="none" w:sz="0" w:space="0" w:color="auto"/>
        <w:bottom w:val="none" w:sz="0" w:space="0" w:color="auto"/>
        <w:right w:val="none" w:sz="0" w:space="0" w:color="auto"/>
      </w:divBdr>
    </w:div>
    <w:div w:id="1410343149">
      <w:bodyDiv w:val="1"/>
      <w:marLeft w:val="0"/>
      <w:marRight w:val="0"/>
      <w:marTop w:val="0"/>
      <w:marBottom w:val="0"/>
      <w:divBdr>
        <w:top w:val="none" w:sz="0" w:space="0" w:color="auto"/>
        <w:left w:val="none" w:sz="0" w:space="0" w:color="auto"/>
        <w:bottom w:val="none" w:sz="0" w:space="0" w:color="auto"/>
        <w:right w:val="none" w:sz="0" w:space="0" w:color="auto"/>
      </w:divBdr>
    </w:div>
    <w:div w:id="2013029314">
      <w:bodyDiv w:val="1"/>
      <w:marLeft w:val="0"/>
      <w:marRight w:val="0"/>
      <w:marTop w:val="0"/>
      <w:marBottom w:val="0"/>
      <w:divBdr>
        <w:top w:val="none" w:sz="0" w:space="0" w:color="auto"/>
        <w:left w:val="none" w:sz="0" w:space="0" w:color="auto"/>
        <w:bottom w:val="none" w:sz="0" w:space="0" w:color="auto"/>
        <w:right w:val="none" w:sz="0" w:space="0" w:color="auto"/>
      </w:divBdr>
    </w:div>
    <w:div w:id="201792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2.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_andrewtan\AppData\Roaming\Microsoft\Templates\Annex%20A%20-%20Management%20and%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MARKETS-31-565</_dlc_DocId>
    <_dlc_DocIdUrl xmlns="a14523ce-dede-483e-883a-2d83261080bd">
      <Url>http://sharedocs/sites/markets/me/_layouts/15/DocIdRedir.aspx?ID=MARKETS-31-565</Url>
      <Description>MARKETS-31-565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Consult</TermName>
          <TermId xmlns="http://schemas.microsoft.com/office/infopath/2007/PartnerControls">a1826cfe-6b5e-4659-82ad-b778a0a98b61</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112</Value>
      <Value>3</Value>
      <Value>16</Value>
      <Value>106</Value>
      <Value>7</Value>
    </TaxCatchAll>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a064495a-ae26-4d7f-a893-8f95d5825856</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Correspondences</TermName>
          <TermId xmlns="http://schemas.microsoft.com/office/infopath/2007/PartnerControls">fca811d2-95a9-4970-820e-0b609c53ef4c</TermId>
        </TermInfo>
      </Terms>
    </c569feee562949f193efcc6c33983d2e>
    <Document_x0020_Date xmlns="3a90f38b-cee7-4289-b705-21e4ceceb96b">2016-12-14T16:00:00+00:00</Document_x0020_Date>
    <_dlc_DocId xmlns="3a90f38b-cee7-4289-b705-21e4ceceb96b">3f013fc7-0490-4ca6-ac86-c808f0d43715</_dlc_DocId>
    <_dlc_DocIdUrl xmlns="3a90f38b-cee7-4289-b705-21e4ceceb96b">
      <Url>https://home.dms.mas.gov.sg/_layouts/15/MASGlobalID/DocAveRedirect.aspx?DocId=3f013fc7-0490-4ca6-ac86-c808f0d43715&amp;SiteID=26883517-6e57-4ba7-a89e-66913df49bbf_c250fcf9-7623-4039-a168-f3241c440c3f</Url>
      <Description>3f013fc7-0490-4ca6-ac86-c808f0d43715</Description>
    </_dlc_DocIdUrl>
    <Stakeholder xmlns="c250fcf9-7623-4039-a168-f3241c440c3f">CMI II</Stakeholder>
    <Stakeholder_x0020_Actions xmlns="c250fcf9-7623-4039-a168-f3241c440c3f">For info</Stakeholder_x0020_Actions>
    <Approver_x0020_Authority xmlns="c250fcf9-7623-4039-a168-f3241c440c3f">Nil</Approver_x0020_Authority>
    <Year xmlns="c250fcf9-7623-4039-a168-f3241c440c3f">2017</Year>
  </documentManagement>
</p:properties>
</file>

<file path=customXml/item5.xml><?xml version="1.0" encoding="utf-8"?>
<?mso-contentType ?>
<SharedContentType xmlns="Microsoft.SharePoint.Taxonomy.ContentTypeSync" SourceId="afabadb4-2257-48ec-869f-64421b8f49cd" ContentTypeId="0x0101003618E443DE96424ABE734F4442FBF2B3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8FBF75B7C74E84FA58B3D704904CEE6" ma:contentTypeVersion="0" ma:contentTypeDescription="Create a new document." ma:contentTypeScope="" ma:versionID="ca8347743e3bb2804be2f25802502cca">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0C1025-6165-4E28-A1DC-82D568E7EBF7}"/>
</file>

<file path=customXml/itemProps2.xml><?xml version="1.0" encoding="utf-8"?>
<ds:datastoreItem xmlns:ds="http://schemas.openxmlformats.org/officeDocument/2006/customXml" ds:itemID="{0C4B2045-8E42-429E-912F-0DCFA8BDDD84}"/>
</file>

<file path=customXml/itemProps3.xml><?xml version="1.0" encoding="utf-8"?>
<ds:datastoreItem xmlns:ds="http://schemas.openxmlformats.org/officeDocument/2006/customXml" ds:itemID="{3274FB88-602A-4DFE-843E-663EF3D41093}"/>
</file>

<file path=customXml/itemProps4.xml><?xml version="1.0" encoding="utf-8"?>
<ds:datastoreItem xmlns:ds="http://schemas.openxmlformats.org/officeDocument/2006/customXml" ds:itemID="{2E0C1025-6165-4E28-A1DC-82D568E7EBF7}">
  <ds:schemaRefs>
    <ds:schemaRef ds:uri="http://schemas.microsoft.com/office/2006/metadata/properties"/>
    <ds:schemaRef ds:uri="http://schemas.microsoft.com/office/infopath/2007/PartnerControls"/>
    <ds:schemaRef ds:uri="3a90f38b-cee7-4289-b705-21e4ceceb96b"/>
    <ds:schemaRef ds:uri="c250fcf9-7623-4039-a168-f3241c440c3f"/>
  </ds:schemaRefs>
</ds:datastoreItem>
</file>

<file path=customXml/itemProps5.xml><?xml version="1.0" encoding="utf-8"?>
<ds:datastoreItem xmlns:ds="http://schemas.openxmlformats.org/officeDocument/2006/customXml" ds:itemID="{22324212-549F-4EA1-BA5E-DB563F89B8AC}">
  <ds:schemaRefs>
    <ds:schemaRef ds:uri="Microsoft.SharePoint.Taxonomy.ContentTypeSync"/>
  </ds:schemaRefs>
</ds:datastoreItem>
</file>

<file path=customXml/itemProps6.xml><?xml version="1.0" encoding="utf-8"?>
<ds:datastoreItem xmlns:ds="http://schemas.openxmlformats.org/officeDocument/2006/customXml" ds:itemID="{5C8998FB-D6F3-4110-8B55-344BF33D0085}"/>
</file>

<file path=customXml/itemProps7.xml><?xml version="1.0" encoding="utf-8"?>
<ds:datastoreItem xmlns:ds="http://schemas.openxmlformats.org/officeDocument/2006/customXml" ds:itemID="{0F0DF349-DBB7-4D1E-9CDE-83DAC4B84CF9}"/>
</file>

<file path=docProps/app.xml><?xml version="1.0" encoding="utf-8"?>
<Properties xmlns="http://schemas.openxmlformats.org/officeDocument/2006/extended-properties" xmlns:vt="http://schemas.openxmlformats.org/officeDocument/2006/docPropsVTypes">
  <Template>Annex A - Management and Board Paper</Template>
  <TotalTime>3222</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Template for Response to Consultation Paper on Proposed VC Manager Regime</vt:lpstr>
    </vt:vector>
  </TitlesOfParts>
  <Company>Singapore Government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Response to Consultation Paper on Proposed VC Manager Regime</dc:title>
  <dc:creator>Monetary Authority of Singapore</dc:creator>
  <cp:lastModifiedBy>Shariq Riaz</cp:lastModifiedBy>
  <cp:revision>7</cp:revision>
  <dcterms:created xsi:type="dcterms:W3CDTF">2018-07-25T04:51:00Z</dcterms:created>
  <dcterms:modified xsi:type="dcterms:W3CDTF">2018-08-10T04:38:00Z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0x010100F8FBF75B7C74E84FA58B3D704904CEE6</vt:lpwstr>
  </property>
  <property fmtid="{D5CDD505-2E9C-101B-9397-08002B2CF9AE}" pid="3" name="_dlc_DocIdItemGuid">
    <vt:lpwstr>3f013fc7-0490-4ca6-ac86-c808f0d43715</vt:lpwstr>
  </property>
  <property fmtid="{D5CDD505-2E9C-101B-9397-08002B2CF9AE}" pid="4" name="Projects">
    <vt:lpwstr/>
  </property>
  <property fmtid="{D5CDD505-2E9C-101B-9397-08002B2CF9AE}" pid="5" name="Geographical">
    <vt:lpwstr/>
  </property>
  <property fmtid="{D5CDD505-2E9C-101B-9397-08002B2CF9AE}" pid="6" name="Document Type">
    <vt:lpwstr>7;#Correspondences|fca811d2-95a9-4970-820e-0b609c53ef4c</vt:lpwstr>
  </property>
  <property fmtid="{D5CDD505-2E9C-101B-9397-08002B2CF9AE}" pid="7" name="Security Classification">
    <vt:lpwstr>3;#Confidential|a064495a-ae26-4d7f-a893-8f95d5825856</vt:lpwstr>
  </property>
  <property fmtid="{D5CDD505-2E9C-101B-9397-08002B2CF9AE}" pid="8" name="Subjects">
    <vt:lpwstr/>
  </property>
  <property fmtid="{D5CDD505-2E9C-101B-9397-08002B2CF9AE}" pid="9" name="Events">
    <vt:lpwstr/>
  </property>
  <property fmtid="{D5CDD505-2E9C-101B-9397-08002B2CF9AE}" pid="10" name="Organisations">
    <vt:lpwstr>106;#Monetary Authority of Singapore|2e85c9cc-5e3f-4b79-a7d9-bc5ac87b6155</vt:lpwstr>
  </property>
  <property fmtid="{D5CDD505-2E9C-101B-9397-08002B2CF9AE}" pid="11" name="Business Functions">
    <vt:lpwstr>16;#Consult|a1826cfe-6b5e-4659-82ad-b778a0a98b61</vt:lpwstr>
  </property>
  <property fmtid="{D5CDD505-2E9C-101B-9397-08002B2CF9AE}" pid="12" name="kfb1d384101645d79dfb3e1eb6303efc">
    <vt:lpwstr>White|00057cd8-307d-4c01-8cbb-0747cf4d14c0</vt:lpwstr>
  </property>
  <property fmtid="{D5CDD505-2E9C-101B-9397-08002B2CF9AE}" pid="13" name="CTG Classification">
    <vt:lpwstr>112;#White|00057cd8-307d-4c01-8cbb-0747cf4d14c0</vt:lpwstr>
  </property>
  <property fmtid="{D5CDD505-2E9C-101B-9397-08002B2CF9AE}" pid="14" name="o1bc9418e5f14cc08546fd3687d4faf2">
    <vt:lpwstr/>
  </property>
  <property fmtid="{D5CDD505-2E9C-101B-9397-08002B2CF9AE}" pid="15" name="Divisions">
    <vt:lpwstr/>
  </property>
</Properties>
</file>