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8B231" w14:textId="77777777" w:rsidR="00310250" w:rsidRPr="0082293E" w:rsidRDefault="0082293E" w:rsidP="00310250">
      <w:pPr>
        <w:pStyle w:val="Title"/>
        <w:rPr>
          <w:caps/>
        </w:rPr>
      </w:pPr>
      <w:r w:rsidRPr="0082293E">
        <w:rPr>
          <w:caps/>
        </w:rPr>
        <w:t>POC executive forum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7064"/>
      </w:tblGrid>
      <w:tr w:rsidR="001C1BE0" w:rsidRPr="001C1BE0" w14:paraId="76B904BF" w14:textId="77777777" w:rsidTr="00FD4249">
        <w:tc>
          <w:tcPr>
            <w:tcW w:w="9288" w:type="dxa"/>
            <w:gridSpan w:val="2"/>
          </w:tcPr>
          <w:p w14:paraId="5B58BF8A" w14:textId="77777777" w:rsidR="001C1BE0" w:rsidRPr="001C1BE0" w:rsidRDefault="00467DBC" w:rsidP="00EB3A62">
            <w:pPr>
              <w:pStyle w:val="DataStyle"/>
              <w:tabs>
                <w:tab w:val="left" w:pos="3796"/>
              </w:tabs>
            </w:pPr>
            <w:sdt>
              <w:sdtPr>
                <w:alias w:val="Choose an item..."/>
                <w:tag w:val="Choose an item..."/>
                <w:id w:val="23439751"/>
                <w:placeholder>
                  <w:docPart w:val="8EF0352634904C199B6495DE9E88368C"/>
                </w:placeholder>
                <w:dropDownList>
                  <w:listItem w:displayText="Choose an item..." w:value="Choose an items..."/>
                  <w:listItem w:displayText="FOR NOTING" w:value="FOR NOTING"/>
                  <w:listItem w:displayText="FOR DECISION" w:value="FOR DECISION"/>
                  <w:listItem w:displayText="FOR DISCUSSION" w:value="FOR DISCUSSION"/>
                  <w:listItem w:displayText="FOR RATIFICATION" w:value="FOR RATIFICATION"/>
                </w:dropDownList>
              </w:sdtPr>
              <w:sdtEndPr/>
              <w:sdtContent>
                <w:r w:rsidR="00072A93">
                  <w:t>FOR DISCUSSION</w:t>
                </w:r>
              </w:sdtContent>
            </w:sdt>
            <w:r w:rsidR="0096190B">
              <w:tab/>
            </w:r>
          </w:p>
        </w:tc>
      </w:tr>
      <w:tr w:rsidR="001C1BE0" w:rsidRPr="001C1BE0" w14:paraId="6528DFF4" w14:textId="77777777" w:rsidTr="00FD4249">
        <w:tc>
          <w:tcPr>
            <w:tcW w:w="2030" w:type="dxa"/>
          </w:tcPr>
          <w:p w14:paraId="32F7F7A4" w14:textId="77777777" w:rsidR="001C1BE0" w:rsidRPr="001C1BE0" w:rsidRDefault="001C1BE0" w:rsidP="001C1BE0">
            <w:pPr>
              <w:pStyle w:val="DataStyle"/>
            </w:pPr>
            <w:r w:rsidRPr="001C1BE0">
              <w:t>SUBJECT:</w:t>
            </w:r>
          </w:p>
        </w:tc>
        <w:tc>
          <w:tcPr>
            <w:tcW w:w="7258" w:type="dxa"/>
          </w:tcPr>
          <w:p w14:paraId="6DE429EA" w14:textId="23AF485E" w:rsidR="001C1BE0" w:rsidRPr="00911ED3" w:rsidRDefault="00937F3F" w:rsidP="0057302C">
            <w:pPr>
              <w:pStyle w:val="DataStyle"/>
            </w:pPr>
            <w:r>
              <w:t>contingency planning</w:t>
            </w:r>
            <w:r w:rsidR="0057302C">
              <w:t xml:space="preserve"> Approach</w:t>
            </w:r>
          </w:p>
        </w:tc>
      </w:tr>
      <w:tr w:rsidR="001C1BE0" w:rsidRPr="001C1BE0" w14:paraId="4FDA025D" w14:textId="77777777" w:rsidTr="00FD4249">
        <w:tc>
          <w:tcPr>
            <w:tcW w:w="2030" w:type="dxa"/>
          </w:tcPr>
          <w:p w14:paraId="6C248DD9" w14:textId="77777777" w:rsidR="001C1BE0" w:rsidRPr="001C1BE0" w:rsidRDefault="001C1BE0" w:rsidP="001C1BE0">
            <w:pPr>
              <w:pStyle w:val="DataStyle"/>
            </w:pPr>
            <w:r w:rsidRPr="001C1BE0">
              <w:t>AGENDA ITEM:</w:t>
            </w:r>
          </w:p>
        </w:tc>
        <w:tc>
          <w:tcPr>
            <w:tcW w:w="7258" w:type="dxa"/>
          </w:tcPr>
          <w:sdt>
            <w:sdtPr>
              <w:alias w:val="AGENDA ITEM"/>
              <w:tag w:val="AGENDA ITEM"/>
              <w:id w:val="27729090"/>
              <w:placeholder>
                <w:docPart w:val="8099920775954E10BE7CA92093B80F06"/>
              </w:placeholder>
              <w:dataBinding w:prefixMappings="xmlns:ns0='http://purl.org/dc/elements/1.1/' xmlns:ns1='http://schemas.openxmlformats.org/package/2006/metadata/core-properties' " w:xpath="/ns1:coreProperties[1]/ns1:keywords[1]" w:storeItemID="{6C3C8BC8-F283-45AE-878A-BAB7291924A1}"/>
              <w:text/>
            </w:sdtPr>
            <w:sdtEndPr/>
            <w:sdtContent>
              <w:p w14:paraId="5162A17C" w14:textId="32DCDC86" w:rsidR="001C1BE0" w:rsidRPr="00911ED3" w:rsidRDefault="00C94C76" w:rsidP="00C94C76">
                <w:pPr>
                  <w:pStyle w:val="DataStyle"/>
                </w:pPr>
                <w:r>
                  <w:t>N/A</w:t>
                </w:r>
              </w:p>
            </w:sdtContent>
          </w:sdt>
        </w:tc>
      </w:tr>
    </w:tbl>
    <w:p w14:paraId="79998E56" w14:textId="77777777" w:rsidR="00FA4989" w:rsidRPr="00FA4989" w:rsidRDefault="00FA4989" w:rsidP="0038482A">
      <w:pPr>
        <w:pStyle w:val="Heading1"/>
      </w:pPr>
      <w:r w:rsidRPr="00FA4989">
        <w:t>PURPOSE</w:t>
      </w:r>
    </w:p>
    <w:p w14:paraId="12F6704E" w14:textId="77777777" w:rsidR="00B53290" w:rsidRDefault="00B53290" w:rsidP="00B53290">
      <w:pPr>
        <w:pStyle w:val="BodyText"/>
      </w:pPr>
      <w:r>
        <w:t xml:space="preserve">The purpose of this paper is to outline the approach AEMO </w:t>
      </w:r>
      <w:r w:rsidR="0082293E">
        <w:t>will</w:t>
      </w:r>
      <w:r>
        <w:t xml:space="preserve"> </w:t>
      </w:r>
      <w:r w:rsidR="00D13F26">
        <w:t>manage</w:t>
      </w:r>
      <w:r>
        <w:t xml:space="preserve"> </w:t>
      </w:r>
      <w:r w:rsidR="0082293E">
        <w:t xml:space="preserve">to conduct </w:t>
      </w:r>
      <w:r w:rsidR="004A1D6C">
        <w:t>Contingency</w:t>
      </w:r>
      <w:r>
        <w:t xml:space="preserve"> Planning for the</w:t>
      </w:r>
      <w:r w:rsidR="0082293E">
        <w:t xml:space="preserve"> adoption of</w:t>
      </w:r>
      <w:r>
        <w:t xml:space="preserve"> National Electricity Rule (NER) changes on 1 December 2017</w:t>
      </w:r>
      <w:r w:rsidR="00D13F26">
        <w:t xml:space="preserve"> within the Power of Choice (PO</w:t>
      </w:r>
      <w:r>
        <w:t>C) Program of Work.</w:t>
      </w:r>
    </w:p>
    <w:p w14:paraId="133F2BF1" w14:textId="77777777" w:rsidR="00FA4989" w:rsidRPr="00FA4989" w:rsidRDefault="00FA4989" w:rsidP="0038482A">
      <w:pPr>
        <w:pStyle w:val="Heading1"/>
      </w:pPr>
      <w:r w:rsidRPr="00FA4989">
        <w:t>BACKGROUND</w:t>
      </w:r>
    </w:p>
    <w:p w14:paraId="79857A97" w14:textId="6C622B6F" w:rsidR="0096190B" w:rsidRDefault="00937F3F" w:rsidP="0096190B">
      <w:pPr>
        <w:pStyle w:val="BodyText"/>
      </w:pPr>
      <w:r>
        <w:t xml:space="preserve">The Australian Energy Market Commission (AEMC) released </w:t>
      </w:r>
      <w:r w:rsidR="00C94C76">
        <w:t xml:space="preserve">three </w:t>
      </w:r>
      <w:r>
        <w:t xml:space="preserve">National Electricity Rule (NER) changes between late-2015 to mid-2016 aimed at enhancing electricity consumer choice. </w:t>
      </w:r>
      <w:r w:rsidR="0096190B">
        <w:t xml:space="preserve">AEMO and its industry counterparties (retailers, networks, embedded networks, </w:t>
      </w:r>
      <w:r w:rsidR="0057302C">
        <w:t xml:space="preserve">new service providers </w:t>
      </w:r>
      <w:r w:rsidR="0096190B">
        <w:t>and consumer group representatives) are currently implementing the</w:t>
      </w:r>
      <w:r w:rsidR="0096190B" w:rsidRPr="0039277E">
        <w:rPr>
          <w:rFonts w:cstheme="minorHAnsi"/>
          <w:szCs w:val="22"/>
        </w:rPr>
        <w:t xml:space="preserve"> POC</w:t>
      </w:r>
      <w:r w:rsidR="0096190B">
        <w:rPr>
          <w:rFonts w:cstheme="minorHAnsi"/>
          <w:szCs w:val="22"/>
        </w:rPr>
        <w:t xml:space="preserve"> reforms (competition in metering, embedded networks, and reforms to B2B arrangements)</w:t>
      </w:r>
      <w:r w:rsidR="0096190B" w:rsidRPr="0039277E">
        <w:rPr>
          <w:rFonts w:cstheme="minorHAnsi"/>
          <w:szCs w:val="22"/>
        </w:rPr>
        <w:t xml:space="preserve"> </w:t>
      </w:r>
      <w:r w:rsidR="0096190B">
        <w:rPr>
          <w:rFonts w:cstheme="minorHAnsi"/>
          <w:szCs w:val="22"/>
        </w:rPr>
        <w:t>to commence on</w:t>
      </w:r>
      <w:r w:rsidR="00C94C76">
        <w:t xml:space="preserve"> </w:t>
      </w:r>
      <w:r w:rsidR="0096190B">
        <w:t xml:space="preserve">1 December 2017. </w:t>
      </w:r>
    </w:p>
    <w:p w14:paraId="304371F0" w14:textId="5F2FB0DA" w:rsidR="00FA4989" w:rsidRDefault="00937F3F" w:rsidP="0096190B">
      <w:pPr>
        <w:pStyle w:val="BodyText"/>
      </w:pPr>
      <w:r w:rsidRPr="000B1FA0">
        <w:rPr>
          <w:rStyle w:val="BodyTextChar"/>
        </w:rPr>
        <w:t xml:space="preserve">The Rule changes require AEMO to </w:t>
      </w:r>
      <w:r w:rsidR="0096190B">
        <w:rPr>
          <w:rStyle w:val="BodyTextChar"/>
        </w:rPr>
        <w:t>amend</w:t>
      </w:r>
      <w:r w:rsidR="0096190B" w:rsidRPr="000B1FA0">
        <w:rPr>
          <w:rStyle w:val="BodyTextChar"/>
        </w:rPr>
        <w:t xml:space="preserve"> </w:t>
      </w:r>
      <w:r w:rsidRPr="000B1FA0">
        <w:rPr>
          <w:rStyle w:val="BodyTextChar"/>
        </w:rPr>
        <w:t>existing</w:t>
      </w:r>
      <w:r w:rsidR="00C94C76">
        <w:rPr>
          <w:rStyle w:val="BodyTextChar"/>
        </w:rPr>
        <w:t>,</w:t>
      </w:r>
      <w:r w:rsidR="0096190B">
        <w:rPr>
          <w:rStyle w:val="BodyTextChar"/>
        </w:rPr>
        <w:t xml:space="preserve"> or create new</w:t>
      </w:r>
      <w:r w:rsidRPr="000B1FA0">
        <w:rPr>
          <w:rStyle w:val="BodyTextChar"/>
        </w:rPr>
        <w:t xml:space="preserve"> </w:t>
      </w:r>
      <w:r w:rsidR="0096190B">
        <w:rPr>
          <w:rStyle w:val="BodyTextChar"/>
        </w:rPr>
        <w:t>market p</w:t>
      </w:r>
      <w:r w:rsidRPr="000B1FA0">
        <w:rPr>
          <w:rStyle w:val="BodyTextChar"/>
        </w:rPr>
        <w:t>rocedures to reflect the contents and principles of</w:t>
      </w:r>
      <w:r>
        <w:rPr>
          <w:rStyle w:val="BodyTextChar"/>
        </w:rPr>
        <w:t xml:space="preserve"> </w:t>
      </w:r>
      <w:r w:rsidRPr="000B1FA0">
        <w:rPr>
          <w:rStyle w:val="BodyTextChar"/>
        </w:rPr>
        <w:t xml:space="preserve">the new Rules. The Procedural changes, in turn, inform associated system changes for both AEMO and participants. AEMO is also responsible for accrediting </w:t>
      </w:r>
      <w:r>
        <w:t>and registering new participants who will participate in the new commercial environment from 1 December 2017.</w:t>
      </w:r>
    </w:p>
    <w:p w14:paraId="3517536B" w14:textId="77777777" w:rsidR="00FA4989" w:rsidRDefault="00FA4989" w:rsidP="0038482A">
      <w:pPr>
        <w:pStyle w:val="Heading1"/>
      </w:pPr>
      <w:r w:rsidRPr="00507CB3">
        <w:t>DISCUSSION</w:t>
      </w:r>
    </w:p>
    <w:p w14:paraId="5AE81147" w14:textId="780E049E" w:rsidR="00745996" w:rsidRDefault="00D13F26" w:rsidP="00D13F26">
      <w:pPr>
        <w:pStyle w:val="BodyText"/>
      </w:pPr>
      <w:r>
        <w:t xml:space="preserve">The Power of Choice Program has been considering </w:t>
      </w:r>
      <w:r w:rsidR="00036320">
        <w:t>a number of s</w:t>
      </w:r>
      <w:r>
        <w:t>cenario based situations which could be realised at</w:t>
      </w:r>
      <w:r w:rsidR="00346601">
        <w:t xml:space="preserve">, or </w:t>
      </w:r>
      <w:r>
        <w:t>about the time when the National Electricity Rule (NER) changes are implemented on 1 December 2017</w:t>
      </w:r>
      <w:r w:rsidR="00346601">
        <w:rPr>
          <w:rStyle w:val="FootnoteReference"/>
        </w:rPr>
        <w:footnoteReference w:id="1"/>
      </w:r>
      <w:r>
        <w:t>.</w:t>
      </w:r>
      <w:r w:rsidR="005F49AA">
        <w:t xml:space="preserve"> These scenarios feed into a broader contingency planning exercise that AEMO has committed to undertake. </w:t>
      </w:r>
    </w:p>
    <w:p w14:paraId="13EBAFBB" w14:textId="0848D851" w:rsidR="00D13F26" w:rsidRDefault="004A1D6C" w:rsidP="00D13F26">
      <w:pPr>
        <w:pStyle w:val="BodyText"/>
      </w:pPr>
      <w:r>
        <w:t>The</w:t>
      </w:r>
      <w:r w:rsidR="00D13F26">
        <w:t xml:space="preserve"> governance</w:t>
      </w:r>
      <w:r w:rsidR="00C94C76">
        <w:t>, accountabilities, responsibilities</w:t>
      </w:r>
      <w:r w:rsidR="00D13F26">
        <w:t xml:space="preserve"> and management of </w:t>
      </w:r>
      <w:r w:rsidR="005F49AA">
        <w:t xml:space="preserve">contingency </w:t>
      </w:r>
      <w:r w:rsidR="0096190B">
        <w:t xml:space="preserve">activities that </w:t>
      </w:r>
      <w:r w:rsidR="00C94C76">
        <w:t xml:space="preserve">may be required </w:t>
      </w:r>
      <w:r w:rsidR="00D13F26">
        <w:t>are important to understand</w:t>
      </w:r>
      <w:r w:rsidR="0096190B">
        <w:t xml:space="preserve">. Scenario planning aims to determine </w:t>
      </w:r>
      <w:r w:rsidR="00D13F26">
        <w:t xml:space="preserve">and </w:t>
      </w:r>
      <w:r w:rsidR="004A24C6">
        <w:t>detail</w:t>
      </w:r>
      <w:r w:rsidR="00D13F26">
        <w:t xml:space="preserve"> process</w:t>
      </w:r>
      <w:r w:rsidR="004A24C6">
        <w:t>es</w:t>
      </w:r>
      <w:r w:rsidR="00C94C76">
        <w:t xml:space="preserve"> ad activities</w:t>
      </w:r>
      <w:r w:rsidR="00036320">
        <w:t xml:space="preserve"> necessary to negate the impact these scenarios could potentially impose.</w:t>
      </w:r>
    </w:p>
    <w:p w14:paraId="53C151BA" w14:textId="6DCC758D" w:rsidR="00D13F26" w:rsidRDefault="00C05DC5" w:rsidP="00D13F26">
      <w:pPr>
        <w:pStyle w:val="BodyText"/>
      </w:pPr>
      <w:r>
        <w:t xml:space="preserve">In addition to </w:t>
      </w:r>
      <w:r w:rsidR="004A1D6C">
        <w:t>the</w:t>
      </w:r>
      <w:r>
        <w:t xml:space="preserve"> </w:t>
      </w:r>
      <w:r w:rsidR="00036320">
        <w:t xml:space="preserve">AEMO </w:t>
      </w:r>
      <w:r w:rsidR="0096190B">
        <w:t>processes</w:t>
      </w:r>
      <w:r>
        <w:t>, Price Waterhouse Coopers (PwC)</w:t>
      </w:r>
      <w:r w:rsidR="00D13F26">
        <w:t xml:space="preserve"> </w:t>
      </w:r>
      <w:r>
        <w:t xml:space="preserve">feedback from a recent Participant survey </w:t>
      </w:r>
      <w:r w:rsidR="004A1D6C">
        <w:t>together with</w:t>
      </w:r>
      <w:r>
        <w:t xml:space="preserve"> one on one discussions, </w:t>
      </w:r>
      <w:r w:rsidR="0096190B">
        <w:t xml:space="preserve">has identified that more clarity is required for the process, outputs and schedule for which AMEO intends to conduct industry </w:t>
      </w:r>
      <w:r w:rsidR="00EB749D">
        <w:t>contingency</w:t>
      </w:r>
      <w:r w:rsidR="0096190B">
        <w:t xml:space="preserve"> planning.  </w:t>
      </w:r>
    </w:p>
    <w:p w14:paraId="3A6940A3" w14:textId="77777777" w:rsidR="0096190B" w:rsidRDefault="00CC4CF3" w:rsidP="0038482A">
      <w:pPr>
        <w:pStyle w:val="Heading2"/>
      </w:pPr>
      <w:r>
        <w:t>Approach</w:t>
      </w:r>
    </w:p>
    <w:p w14:paraId="72E16E8D" w14:textId="77777777" w:rsidR="00BA7385" w:rsidRDefault="00BA7385" w:rsidP="00EB749D">
      <w:pPr>
        <w:pStyle w:val="BodyText"/>
      </w:pPr>
      <w:r>
        <w:t xml:space="preserve">AEMO </w:t>
      </w:r>
      <w:r w:rsidR="00EB749D">
        <w:t xml:space="preserve">has </w:t>
      </w:r>
      <w:r>
        <w:t>establish</w:t>
      </w:r>
      <w:r w:rsidR="00EB749D">
        <w:t>ed</w:t>
      </w:r>
      <w:r>
        <w:t xml:space="preserve"> the following approach to achieve effective contingency planning with industry:</w:t>
      </w:r>
    </w:p>
    <w:p w14:paraId="4D5B000C" w14:textId="5D7B2D4D" w:rsidR="00BA7385" w:rsidRDefault="00BA7385" w:rsidP="00EB3A62">
      <w:pPr>
        <w:pStyle w:val="BodyText"/>
        <w:numPr>
          <w:ilvl w:val="0"/>
          <w:numId w:val="42"/>
        </w:numPr>
      </w:pPr>
      <w:r>
        <w:lastRenderedPageBreak/>
        <w:t>AEMO will release an Industry Contingency Development Plan</w:t>
      </w:r>
      <w:r w:rsidR="0038482A">
        <w:t xml:space="preserve"> by mid-August 2017</w:t>
      </w:r>
    </w:p>
    <w:p w14:paraId="371DAAB2" w14:textId="77777777" w:rsidR="00EB749D" w:rsidRDefault="005F49AA" w:rsidP="00EB3A62">
      <w:pPr>
        <w:pStyle w:val="BodyText"/>
        <w:numPr>
          <w:ilvl w:val="0"/>
          <w:numId w:val="42"/>
        </w:numPr>
      </w:pPr>
      <w:r>
        <w:t>AEMO will</w:t>
      </w:r>
      <w:r w:rsidR="00EB749D">
        <w:t xml:space="preserve"> release </w:t>
      </w:r>
      <w:r>
        <w:t xml:space="preserve">and maintain the </w:t>
      </w:r>
      <w:r w:rsidR="00EB749D">
        <w:t xml:space="preserve">scenarios list </w:t>
      </w:r>
    </w:p>
    <w:p w14:paraId="082A3C72" w14:textId="09B7FD67" w:rsidR="00EB749D" w:rsidRDefault="005F49AA" w:rsidP="00EB3A62">
      <w:pPr>
        <w:pStyle w:val="BodyText"/>
        <w:numPr>
          <w:ilvl w:val="0"/>
          <w:numId w:val="42"/>
        </w:numPr>
      </w:pPr>
      <w:r>
        <w:t xml:space="preserve">RWG will </w:t>
      </w:r>
      <w:r w:rsidR="00EB749D">
        <w:t xml:space="preserve">develop </w:t>
      </w:r>
      <w:r>
        <w:t xml:space="preserve">each </w:t>
      </w:r>
      <w:r w:rsidR="00EB749D">
        <w:t>scenario, refine and update</w:t>
      </w:r>
      <w:r>
        <w:t xml:space="preserve"> the</w:t>
      </w:r>
      <w:r w:rsidRPr="005F49AA">
        <w:t xml:space="preserve"> </w:t>
      </w:r>
      <w:r>
        <w:t>list</w:t>
      </w:r>
    </w:p>
    <w:p w14:paraId="575D835B" w14:textId="7A250F2E" w:rsidR="00EB749D" w:rsidRDefault="00EB749D" w:rsidP="00EB3A62">
      <w:pPr>
        <w:pStyle w:val="BodyText"/>
        <w:numPr>
          <w:ilvl w:val="0"/>
          <w:numId w:val="42"/>
        </w:numPr>
      </w:pPr>
      <w:r>
        <w:t xml:space="preserve">For each scenario, </w:t>
      </w:r>
      <w:r w:rsidR="005F49AA">
        <w:t xml:space="preserve">the RWG will </w:t>
      </w:r>
      <w:r>
        <w:t>propose actions to mitigate or implement in the event o</w:t>
      </w:r>
      <w:r w:rsidR="0038482A">
        <w:t>f a scenario coming to fruition</w:t>
      </w:r>
    </w:p>
    <w:p w14:paraId="39851EC3" w14:textId="1AF3B86F" w:rsidR="00EB749D" w:rsidRDefault="00EB749D" w:rsidP="00EB3A62">
      <w:pPr>
        <w:pStyle w:val="BodyText"/>
        <w:numPr>
          <w:ilvl w:val="0"/>
          <w:numId w:val="42"/>
        </w:numPr>
      </w:pPr>
      <w:r>
        <w:t xml:space="preserve">For each scenario, </w:t>
      </w:r>
      <w:r w:rsidR="005F49AA">
        <w:t xml:space="preserve">the RWG will </w:t>
      </w:r>
      <w:r>
        <w:t xml:space="preserve">develop ‘trigger(s)’ </w:t>
      </w:r>
      <w:r w:rsidR="005F49AA">
        <w:t xml:space="preserve">to identify when the scenario is likely to occur </w:t>
      </w:r>
      <w:r>
        <w:t>and ‘decision(s)</w:t>
      </w:r>
      <w:r w:rsidR="005F49AA">
        <w:t xml:space="preserve"> criteria</w:t>
      </w:r>
      <w:r>
        <w:t>’</w:t>
      </w:r>
      <w:r w:rsidR="005F49AA">
        <w:t xml:space="preserve"> required</w:t>
      </w:r>
      <w:r>
        <w:t xml:space="preserve"> in the event of t</w:t>
      </w:r>
      <w:r w:rsidR="0038482A">
        <w:t>h</w:t>
      </w:r>
      <w:r w:rsidR="007A6FCD">
        <w:t>e</w:t>
      </w:r>
      <w:r w:rsidR="0038482A">
        <w:t xml:space="preserve"> scenario coming to fruition</w:t>
      </w:r>
    </w:p>
    <w:p w14:paraId="42F9FD79" w14:textId="7F08E502" w:rsidR="005F49AA" w:rsidRDefault="005F49AA" w:rsidP="00EB3A62">
      <w:pPr>
        <w:pStyle w:val="BodyText"/>
        <w:numPr>
          <w:ilvl w:val="0"/>
          <w:numId w:val="42"/>
        </w:numPr>
      </w:pPr>
      <w:r>
        <w:t xml:space="preserve">A collation of trigger(s) will be summarised into </w:t>
      </w:r>
      <w:r w:rsidR="002B3576">
        <w:t>the</w:t>
      </w:r>
      <w:r w:rsidR="007A6FCD">
        <w:t xml:space="preserve"> </w:t>
      </w:r>
      <w:r>
        <w:t xml:space="preserve">Transition and Cut-Over Group </w:t>
      </w:r>
      <w:r w:rsidR="007A6FCD">
        <w:t>and</w:t>
      </w:r>
      <w:r>
        <w:t xml:space="preserve"> included in the final </w:t>
      </w:r>
      <w:r w:rsidR="00B766FB">
        <w:t>Transition</w:t>
      </w:r>
      <w:r w:rsidR="0038482A">
        <w:t xml:space="preserve"> and Cut-Over Plan and schedule</w:t>
      </w:r>
    </w:p>
    <w:p w14:paraId="0B7DF49C" w14:textId="4D7432D5" w:rsidR="00EB749D" w:rsidRDefault="00EB749D" w:rsidP="00EB3A62">
      <w:pPr>
        <w:pStyle w:val="BodyText"/>
        <w:numPr>
          <w:ilvl w:val="0"/>
          <w:numId w:val="42"/>
        </w:numPr>
      </w:pPr>
      <w:r>
        <w:t xml:space="preserve">A collation of decision criteria will be </w:t>
      </w:r>
      <w:r w:rsidR="007A6FCD">
        <w:t>shared with</w:t>
      </w:r>
      <w:r>
        <w:t xml:space="preserve"> the </w:t>
      </w:r>
      <w:r w:rsidR="00B766FB">
        <w:t xml:space="preserve">PoC-RWG and </w:t>
      </w:r>
      <w:r w:rsidR="005F49AA">
        <w:t xml:space="preserve">PoC-PCF </w:t>
      </w:r>
      <w:r w:rsidR="007A6FCD">
        <w:t>and</w:t>
      </w:r>
      <w:r w:rsidR="005F49AA">
        <w:t xml:space="preserve"> monitored </w:t>
      </w:r>
      <w:r w:rsidR="007A6FCD">
        <w:t xml:space="preserve">in </w:t>
      </w:r>
      <w:r w:rsidR="005F49AA">
        <w:t>the lead-up to the effective date</w:t>
      </w:r>
    </w:p>
    <w:p w14:paraId="7A1DBC7E" w14:textId="77777777" w:rsidR="00CC4CF3" w:rsidRDefault="00CC4CF3" w:rsidP="00EB3A62">
      <w:pPr>
        <w:pStyle w:val="BodyText"/>
      </w:pPr>
      <w:r>
        <w:t xml:space="preserve">AEMO will circulate to industry a </w:t>
      </w:r>
      <w:r w:rsidR="00BA7385">
        <w:t xml:space="preserve">strawman </w:t>
      </w:r>
      <w:r>
        <w:t xml:space="preserve">list of possible scenarios derived from a combination of industry </w:t>
      </w:r>
      <w:r w:rsidR="00E45A97">
        <w:t>Readiness</w:t>
      </w:r>
      <w:r>
        <w:t xml:space="preserve"> Reporting, PoC Industry Risk register and </w:t>
      </w:r>
      <w:r w:rsidR="00BA7385">
        <w:t>data</w:t>
      </w:r>
      <w:r w:rsidR="00E45A97">
        <w:t xml:space="preserve"> provided to AEMO by PwC.</w:t>
      </w:r>
      <w:r w:rsidR="00BA7385">
        <w:t xml:space="preserve"> </w:t>
      </w:r>
    </w:p>
    <w:p w14:paraId="61D513F9" w14:textId="64DA04A0" w:rsidR="00BA7385" w:rsidRDefault="00BA7385" w:rsidP="00EB3A62">
      <w:pPr>
        <w:pStyle w:val="BodyText"/>
      </w:pPr>
      <w:r w:rsidRPr="00EB3A62">
        <w:t xml:space="preserve">The scenario list, including proposed actions will be circulated back to appropriate governance </w:t>
      </w:r>
      <w:r w:rsidR="00831496" w:rsidRPr="00EB3A62">
        <w:t>bodies including</w:t>
      </w:r>
      <w:r>
        <w:t xml:space="preserve"> the PoC-PCF, and if required, the Executive Forum. </w:t>
      </w:r>
    </w:p>
    <w:p w14:paraId="466C2E5E" w14:textId="551BD2D0" w:rsidR="00EB749D" w:rsidRDefault="0038482A" w:rsidP="0038482A">
      <w:pPr>
        <w:pStyle w:val="Heading2"/>
      </w:pPr>
      <w:r>
        <w:t>Responsibilities</w:t>
      </w:r>
    </w:p>
    <w:p w14:paraId="67B72D12" w14:textId="7C724194" w:rsidR="00F80F53" w:rsidRDefault="00F80F53" w:rsidP="00783EA1">
      <w:pPr>
        <w:pStyle w:val="Heading3"/>
      </w:pPr>
      <w:r>
        <w:t>Readiness Working Group (RWG)</w:t>
      </w:r>
    </w:p>
    <w:p w14:paraId="3F3BB01A" w14:textId="5E31A8B1" w:rsidR="00EB749D" w:rsidRDefault="00EB749D" w:rsidP="00EB749D">
      <w:pPr>
        <w:pStyle w:val="BodyText"/>
      </w:pPr>
      <w:r>
        <w:t xml:space="preserve">The </w:t>
      </w:r>
      <w:r w:rsidR="00783EA1">
        <w:t>RWG, in accordance with the Readiness Strategy,</w:t>
      </w:r>
      <w:r>
        <w:t xml:space="preserve"> is tasked with:</w:t>
      </w:r>
    </w:p>
    <w:p w14:paraId="6FDFBB1F" w14:textId="77777777" w:rsidR="00EB749D" w:rsidRDefault="00EB749D" w:rsidP="00EB749D">
      <w:pPr>
        <w:pStyle w:val="BodyText"/>
        <w:numPr>
          <w:ilvl w:val="0"/>
          <w:numId w:val="43"/>
        </w:numPr>
      </w:pPr>
      <w:r>
        <w:t xml:space="preserve">Developing and finalising the </w:t>
      </w:r>
      <w:r w:rsidR="005F49AA">
        <w:t>I</w:t>
      </w:r>
      <w:r>
        <w:t>ndustry Contingency Development Plan</w:t>
      </w:r>
    </w:p>
    <w:p w14:paraId="751A80C1" w14:textId="77777777" w:rsidR="00EB749D" w:rsidRDefault="00EB749D" w:rsidP="00EB3A62">
      <w:pPr>
        <w:pStyle w:val="BodyText"/>
        <w:numPr>
          <w:ilvl w:val="0"/>
          <w:numId w:val="43"/>
        </w:numPr>
      </w:pPr>
      <w:r>
        <w:t>Assessing and developing scenarios and proposing actions and outcomes for each</w:t>
      </w:r>
    </w:p>
    <w:p w14:paraId="14CA6CEB" w14:textId="77777777" w:rsidR="00B766FB" w:rsidRDefault="00B766FB" w:rsidP="00EB3A62">
      <w:pPr>
        <w:pStyle w:val="BodyText"/>
        <w:numPr>
          <w:ilvl w:val="0"/>
          <w:numId w:val="43"/>
        </w:numPr>
      </w:pPr>
      <w:r>
        <w:t>Maintaining and updating</w:t>
      </w:r>
      <w:r w:rsidR="00B52E30">
        <w:t xml:space="preserve"> the scenario list</w:t>
      </w:r>
    </w:p>
    <w:p w14:paraId="34C13024" w14:textId="10FCA9C6" w:rsidR="00B766FB" w:rsidRDefault="00B766FB" w:rsidP="00EB3A62">
      <w:pPr>
        <w:pStyle w:val="BodyText"/>
        <w:numPr>
          <w:ilvl w:val="0"/>
          <w:numId w:val="43"/>
        </w:numPr>
      </w:pPr>
      <w:r>
        <w:t>Escalation of issues and risks to the PoC-PCF</w:t>
      </w:r>
      <w:r w:rsidR="0038482A">
        <w:t xml:space="preserve"> </w:t>
      </w:r>
      <w:r w:rsidR="007A6FCD">
        <w:t xml:space="preserve">and / </w:t>
      </w:r>
      <w:r w:rsidR="0038482A">
        <w:t>or Executive Forum (</w:t>
      </w:r>
      <w:r w:rsidR="007A6FCD">
        <w:t xml:space="preserve">if </w:t>
      </w:r>
      <w:r w:rsidR="0038482A">
        <w:t>required)</w:t>
      </w:r>
    </w:p>
    <w:p w14:paraId="57EE4D54" w14:textId="48D2A5A9" w:rsidR="00C51550" w:rsidRDefault="00C51550" w:rsidP="0038482A">
      <w:pPr>
        <w:pStyle w:val="BodyText"/>
      </w:pPr>
      <w:r>
        <w:t xml:space="preserve">The RWG may establish smaller focus </w:t>
      </w:r>
      <w:r w:rsidR="00783EA1">
        <w:t>groups to expedite the process as required.</w:t>
      </w:r>
    </w:p>
    <w:p w14:paraId="3DFD61FB" w14:textId="3CA4A4F6" w:rsidR="00F80F53" w:rsidRDefault="00F80F53" w:rsidP="0038482A">
      <w:pPr>
        <w:pStyle w:val="Heading3"/>
      </w:pPr>
      <w:r>
        <w:t>Participants</w:t>
      </w:r>
    </w:p>
    <w:p w14:paraId="14805AC1" w14:textId="2F202826" w:rsidR="00F80F53" w:rsidRDefault="00F80F53" w:rsidP="0038482A">
      <w:pPr>
        <w:pStyle w:val="BodyText"/>
      </w:pPr>
      <w:r>
        <w:t>Industry contingency planning does not remove the necessity for individual organisation</w:t>
      </w:r>
      <w:r w:rsidR="007A6FCD">
        <w:t>s</w:t>
      </w:r>
      <w:r>
        <w:t xml:space="preserve"> to develop and maintain their internal contingency plans. Many of the industry wide actions may involve participant(s) undertaking their </w:t>
      </w:r>
      <w:r w:rsidR="0038482A">
        <w:t xml:space="preserve">own individual </w:t>
      </w:r>
      <w:r>
        <w:t xml:space="preserve">contingency plans in accordance with requirements of Procedures and/or processes in the event of individual system failures. </w:t>
      </w:r>
    </w:p>
    <w:p w14:paraId="7E2C8CB1" w14:textId="77777777" w:rsidR="00BA7385" w:rsidRDefault="00BA7385" w:rsidP="0038482A">
      <w:pPr>
        <w:pStyle w:val="Heading2"/>
      </w:pPr>
      <w:r>
        <w:t xml:space="preserve">Outputs </w:t>
      </w:r>
    </w:p>
    <w:p w14:paraId="2724929D" w14:textId="638DEE12" w:rsidR="000479E4" w:rsidRDefault="00BA7385" w:rsidP="00EB3A62">
      <w:pPr>
        <w:pStyle w:val="BodyText"/>
      </w:pPr>
      <w:r>
        <w:t xml:space="preserve">AEMO will publish the </w:t>
      </w:r>
      <w:r w:rsidR="005F49AA">
        <w:t xml:space="preserve">Industry </w:t>
      </w:r>
      <w:r>
        <w:t xml:space="preserve">Contingency </w:t>
      </w:r>
      <w:r w:rsidR="005F49AA">
        <w:t xml:space="preserve">Development </w:t>
      </w:r>
      <w:r>
        <w:t>P</w:t>
      </w:r>
      <w:r w:rsidR="005F49AA">
        <w:t>l</w:t>
      </w:r>
      <w:r>
        <w:t>an</w:t>
      </w:r>
      <w:r w:rsidR="005F49AA">
        <w:t xml:space="preserve">, </w:t>
      </w:r>
      <w:r w:rsidR="00B766FB">
        <w:t xml:space="preserve">and maintain a </w:t>
      </w:r>
      <w:r w:rsidR="005F49AA">
        <w:t xml:space="preserve">live </w:t>
      </w:r>
      <w:r w:rsidR="00B766FB">
        <w:t xml:space="preserve">list of scenarios </w:t>
      </w:r>
      <w:r w:rsidR="005F49AA">
        <w:t>on the PoC website.</w:t>
      </w:r>
      <w:r>
        <w:t xml:space="preserve"> </w:t>
      </w:r>
    </w:p>
    <w:p w14:paraId="0368B01E" w14:textId="48551F5E" w:rsidR="00BA7385" w:rsidRDefault="00BA7385" w:rsidP="0038482A">
      <w:pPr>
        <w:pStyle w:val="Heading3"/>
      </w:pPr>
      <w:r>
        <w:t xml:space="preserve">Decision making criteria </w:t>
      </w:r>
    </w:p>
    <w:p w14:paraId="62391928" w14:textId="77777777" w:rsidR="00BA7385" w:rsidRPr="00EB3A62" w:rsidRDefault="00BA7385" w:rsidP="00EB3A62">
      <w:pPr>
        <w:pStyle w:val="BodyText"/>
      </w:pPr>
      <w:r>
        <w:t>It is expected that a number of decision criteria will be developed throughout the scenario planning activities</w:t>
      </w:r>
      <w:r w:rsidR="00B766FB">
        <w:t>.</w:t>
      </w:r>
    </w:p>
    <w:p w14:paraId="4386FE74" w14:textId="77777777" w:rsidR="00BA7385" w:rsidRDefault="005F49AA" w:rsidP="00E4112B">
      <w:pPr>
        <w:pStyle w:val="BodyText"/>
      </w:pPr>
      <w:r>
        <w:t>The key outputs of this planning in terms of decision making criteria</w:t>
      </w:r>
      <w:r w:rsidR="00B766FB">
        <w:t xml:space="preserve"> </w:t>
      </w:r>
      <w:r>
        <w:t>are:</w:t>
      </w:r>
    </w:p>
    <w:p w14:paraId="2CDC89B3" w14:textId="4809CBAC" w:rsidR="005F49AA" w:rsidRDefault="00B766FB" w:rsidP="00EB3A62">
      <w:pPr>
        <w:pStyle w:val="BodyText"/>
        <w:numPr>
          <w:ilvl w:val="0"/>
          <w:numId w:val="44"/>
        </w:numPr>
      </w:pPr>
      <w:r>
        <w:t>Under what circumstances</w:t>
      </w:r>
      <w:r w:rsidR="005F49AA">
        <w:t xml:space="preserve"> </w:t>
      </w:r>
      <w:r w:rsidR="007A6FCD">
        <w:t>are</w:t>
      </w:r>
      <w:r w:rsidR="005F49AA">
        <w:t xml:space="preserve"> decision</w:t>
      </w:r>
      <w:r w:rsidR="007A6FCD">
        <w:t>s</w:t>
      </w:r>
      <w:r w:rsidR="005F49AA">
        <w:t xml:space="preserve"> required to be made</w:t>
      </w:r>
    </w:p>
    <w:p w14:paraId="239B5E89" w14:textId="3AD76EE9" w:rsidR="005F49AA" w:rsidRDefault="005F49AA" w:rsidP="00EB3A62">
      <w:pPr>
        <w:pStyle w:val="BodyText"/>
        <w:numPr>
          <w:ilvl w:val="0"/>
          <w:numId w:val="44"/>
        </w:numPr>
      </w:pPr>
      <w:r>
        <w:t>In what timeframe</w:t>
      </w:r>
      <w:r w:rsidR="007A6FCD">
        <w:t>s</w:t>
      </w:r>
      <w:r>
        <w:t xml:space="preserve"> </w:t>
      </w:r>
      <w:r w:rsidR="007A6FCD">
        <w:t>are</w:t>
      </w:r>
      <w:r>
        <w:t xml:space="preserve"> decision</w:t>
      </w:r>
      <w:r w:rsidR="007A6FCD">
        <w:t>s</w:t>
      </w:r>
      <w:r>
        <w:t xml:space="preserve"> expected to be made</w:t>
      </w:r>
    </w:p>
    <w:p w14:paraId="1A8684B0" w14:textId="6171B54C" w:rsidR="005F49AA" w:rsidRDefault="00B766FB" w:rsidP="00EB3A62">
      <w:pPr>
        <w:pStyle w:val="BodyText"/>
        <w:numPr>
          <w:ilvl w:val="0"/>
          <w:numId w:val="44"/>
        </w:numPr>
      </w:pPr>
      <w:r>
        <w:lastRenderedPageBreak/>
        <w:t xml:space="preserve">What actions participant(s) </w:t>
      </w:r>
      <w:r w:rsidR="00F76082">
        <w:t xml:space="preserve">are </w:t>
      </w:r>
      <w:r>
        <w:t xml:space="preserve">expected to </w:t>
      </w:r>
      <w:r w:rsidR="007A6FCD">
        <w:t>under</w:t>
      </w:r>
      <w:r>
        <w:t>take</w:t>
      </w:r>
      <w:r w:rsidR="0038482A">
        <w:t xml:space="preserve"> (includ</w:t>
      </w:r>
      <w:r w:rsidR="007A6FCD">
        <w:t>ing</w:t>
      </w:r>
      <w:r w:rsidR="0038482A">
        <w:t xml:space="preserve"> AEMO and other industry bodies)</w:t>
      </w:r>
    </w:p>
    <w:p w14:paraId="33C743DE" w14:textId="75DE36CC" w:rsidR="009F361F" w:rsidRDefault="0038482A" w:rsidP="00783EA1">
      <w:pPr>
        <w:pStyle w:val="Heading2"/>
      </w:pPr>
      <w:r>
        <w:t>Decision</w:t>
      </w:r>
      <w:r w:rsidR="009F361F">
        <w:t xml:space="preserve"> Principles</w:t>
      </w:r>
    </w:p>
    <w:p w14:paraId="17A6A641" w14:textId="62451A78" w:rsidR="0038482A" w:rsidRDefault="0038482A" w:rsidP="0038482A">
      <w:pPr>
        <w:pStyle w:val="BodyText"/>
      </w:pPr>
      <w:r>
        <w:t xml:space="preserve">In </w:t>
      </w:r>
      <w:r w:rsidR="00783EA1">
        <w:t>finalising</w:t>
      </w:r>
      <w:r>
        <w:t xml:space="preserve"> decision criteria</w:t>
      </w:r>
      <w:r w:rsidR="00783EA1">
        <w:t xml:space="preserve"> from scenario planning</w:t>
      </w:r>
      <w:r>
        <w:t xml:space="preserve">, AEMO will apply the following principles </w:t>
      </w:r>
      <w:r w:rsidR="00F76082">
        <w:t xml:space="preserve">in </w:t>
      </w:r>
      <w:r>
        <w:t>determining the appropriate action</w:t>
      </w:r>
      <w:r w:rsidR="00783EA1">
        <w:t>(</w:t>
      </w:r>
      <w:r>
        <w:t>s</w:t>
      </w:r>
      <w:r w:rsidR="00783EA1">
        <w:t>)</w:t>
      </w:r>
      <w:r>
        <w:t xml:space="preserve"> to be taken:</w:t>
      </w:r>
    </w:p>
    <w:p w14:paraId="63B57E26" w14:textId="10156316" w:rsidR="00783EA1" w:rsidRDefault="00783EA1" w:rsidP="00783EA1">
      <w:pPr>
        <w:pStyle w:val="BodyText"/>
        <w:numPr>
          <w:ilvl w:val="0"/>
          <w:numId w:val="48"/>
        </w:numPr>
      </w:pPr>
      <w:r>
        <w:t xml:space="preserve">The </w:t>
      </w:r>
      <w:r w:rsidRPr="00783EA1">
        <w:t>material</w:t>
      </w:r>
      <w:r>
        <w:t>ity and</w:t>
      </w:r>
      <w:r w:rsidRPr="00783EA1">
        <w:t xml:space="preserve"> impact on customer supply, safety, service not intended from the reforms</w:t>
      </w:r>
    </w:p>
    <w:p w14:paraId="3129B1D7" w14:textId="6E83B2E8" w:rsidR="0038482A" w:rsidRDefault="00783EA1" w:rsidP="0038482A">
      <w:pPr>
        <w:pStyle w:val="BodyText"/>
        <w:numPr>
          <w:ilvl w:val="0"/>
          <w:numId w:val="48"/>
        </w:numPr>
      </w:pPr>
      <w:r>
        <w:t>The suitability of contingency plans to mitigate the event from a market perspective</w:t>
      </w:r>
    </w:p>
    <w:p w14:paraId="6259B9AA" w14:textId="1BE2F397" w:rsidR="00783EA1" w:rsidRDefault="00783EA1" w:rsidP="0038482A">
      <w:pPr>
        <w:pStyle w:val="BodyText"/>
        <w:numPr>
          <w:ilvl w:val="0"/>
          <w:numId w:val="48"/>
        </w:numPr>
      </w:pPr>
      <w:r>
        <w:t>Whether or not a delay to the effective date mitigate</w:t>
      </w:r>
      <w:r w:rsidR="00F76082">
        <w:t>s</w:t>
      </w:r>
      <w:r>
        <w:t xml:space="preserve"> or guarantee</w:t>
      </w:r>
      <w:r w:rsidR="00F76082">
        <w:t>s</w:t>
      </w:r>
      <w:r>
        <w:t xml:space="preserve"> a resolution</w:t>
      </w:r>
    </w:p>
    <w:p w14:paraId="292D9431" w14:textId="6CA7B87A" w:rsidR="009F361F" w:rsidRPr="0038482A" w:rsidRDefault="0038482A" w:rsidP="00783EA1">
      <w:pPr>
        <w:pStyle w:val="BodyText"/>
      </w:pPr>
      <w:r>
        <w:t xml:space="preserve">In addition, </w:t>
      </w:r>
      <w:r w:rsidR="009F361F">
        <w:t xml:space="preserve">AEMO will apply </w:t>
      </w:r>
      <w:r w:rsidR="00F76082">
        <w:t>originally</w:t>
      </w:r>
      <w:r w:rsidR="009F361F">
        <w:t xml:space="preserve"> agreed </w:t>
      </w:r>
      <w:r w:rsidR="00F76082">
        <w:t xml:space="preserve">and communicated </w:t>
      </w:r>
      <w:r w:rsidR="00F843D0">
        <w:t>transition and cut-over</w:t>
      </w:r>
      <w:r w:rsidR="009F361F">
        <w:t xml:space="preserve"> principles when </w:t>
      </w:r>
      <w:r w:rsidR="00F843D0">
        <w:t>confirming the decision criteria</w:t>
      </w:r>
      <w:r>
        <w:t>, these are included in Appendix A for reference.</w:t>
      </w:r>
    </w:p>
    <w:p w14:paraId="359D2263" w14:textId="77777777" w:rsidR="00B766FB" w:rsidRDefault="00B766FB" w:rsidP="0038482A">
      <w:pPr>
        <w:pStyle w:val="Heading2"/>
      </w:pPr>
      <w:r>
        <w:t xml:space="preserve">Schedule </w:t>
      </w:r>
    </w:p>
    <w:p w14:paraId="683D109F" w14:textId="77777777" w:rsidR="00B766FB" w:rsidRDefault="00B766FB" w:rsidP="00EB3A62">
      <w:pPr>
        <w:pStyle w:val="BodyText"/>
      </w:pPr>
      <w:r>
        <w:t xml:space="preserve">An overview of the approach </w:t>
      </w:r>
      <w:r w:rsidR="00B52E30">
        <w:t xml:space="preserve">will be presented to the PCF on 11 August 2017. </w:t>
      </w:r>
    </w:p>
    <w:p w14:paraId="09B389BE" w14:textId="77777777" w:rsidR="00B52E30" w:rsidRDefault="00B52E30" w:rsidP="00EB3A62">
      <w:pPr>
        <w:pStyle w:val="BodyText"/>
      </w:pPr>
      <w:r>
        <w:t>The draft Industry Contingency Development Plan and initial list of scenarios with strawman actions will be circulated to the RWG for the upcoming session on 18 August 2017.</w:t>
      </w:r>
    </w:p>
    <w:p w14:paraId="47B7F9AB" w14:textId="795D0B3D" w:rsidR="00B52E30" w:rsidRPr="00EB3A62" w:rsidRDefault="00B52E30" w:rsidP="00EB3A62">
      <w:pPr>
        <w:pStyle w:val="BodyText"/>
      </w:pPr>
      <w:r>
        <w:t xml:space="preserve">The RWG will a draft scenarios </w:t>
      </w:r>
      <w:r w:rsidR="00C51550">
        <w:t>and plan towards by the end of</w:t>
      </w:r>
      <w:r>
        <w:t xml:space="preserve"> September 2017</w:t>
      </w:r>
      <w:r>
        <w:rPr>
          <w:rStyle w:val="FootnoteReference"/>
        </w:rPr>
        <w:footnoteReference w:id="2"/>
      </w:r>
      <w:r>
        <w:t xml:space="preserve">. </w:t>
      </w:r>
    </w:p>
    <w:p w14:paraId="656F1959" w14:textId="77777777" w:rsidR="00FA4989" w:rsidRPr="00507CB3" w:rsidRDefault="00FA4989" w:rsidP="0038482A">
      <w:pPr>
        <w:pStyle w:val="Heading1"/>
      </w:pPr>
      <w:r w:rsidRPr="00507CB3">
        <w:t>RECOMMENDATIONS</w:t>
      </w:r>
    </w:p>
    <w:p w14:paraId="722C6B28" w14:textId="10869A20" w:rsidR="00FA4989" w:rsidRDefault="00B766FB" w:rsidP="00FA4989">
      <w:pPr>
        <w:pStyle w:val="BodyText"/>
      </w:pPr>
      <w:r>
        <w:t xml:space="preserve">Executive Forum note the </w:t>
      </w:r>
      <w:r w:rsidR="00F80F53">
        <w:t xml:space="preserve">contingency planning </w:t>
      </w:r>
      <w:r>
        <w:t xml:space="preserve">approach </w:t>
      </w:r>
      <w:r w:rsidR="00F80F53">
        <w:t xml:space="preserve">and outputs </w:t>
      </w:r>
      <w:r>
        <w:t>that AEMO will facilitate through the RWG</w:t>
      </w:r>
      <w:r w:rsidR="00F80F53">
        <w:t>;</w:t>
      </w:r>
      <w:r>
        <w:t xml:space="preserve"> and support the approach by making available suitable resources</w:t>
      </w:r>
      <w:r w:rsidR="00AF1224">
        <w:t>.</w:t>
      </w:r>
    </w:p>
    <w:p w14:paraId="2D17D917" w14:textId="77777777" w:rsidR="001C1BE0" w:rsidRPr="00507CB3" w:rsidRDefault="001331A0" w:rsidP="00317A98">
      <w:pPr>
        <w:pStyle w:val="GoldLine"/>
      </w:pPr>
      <w:r>
        <w:rPr>
          <w:noProof/>
        </w:rPr>
        <mc:AlternateContent>
          <mc:Choice Requires="wps">
            <w:drawing>
              <wp:inline distT="0" distB="0" distL="0" distR="0" wp14:anchorId="0BB5E661" wp14:editId="5C53DE6B">
                <wp:extent cx="431800" cy="53975"/>
                <wp:effectExtent l="0" t="0" r="0" b="3175"/>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53975"/>
                        </a:xfrm>
                        <a:prstGeom prst="rect">
                          <a:avLst/>
                        </a:prstGeom>
                        <a:solidFill>
                          <a:srgbClr val="9486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1991ED86" id="Rectangle 2" o:spid="_x0000_s1026" style="width:34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" fillcolor="#948671" stroked="f">
                <w10:anchorlock/>
              </v:rect>
            </w:pict>
          </mc:Fallback>
        </mc:AlternateContent>
      </w:r>
    </w:p>
    <w:tbl>
      <w:tblPr>
        <w:tblStyle w:val="AEMO09Tablestyle"/>
        <w:tblW w:w="9180" w:type="dxa"/>
        <w:tblLayout w:type="fixed"/>
        <w:tblLook w:val="0000" w:firstRow="0" w:lastRow="0" w:firstColumn="0" w:lastColumn="0" w:noHBand="0" w:noVBand="0"/>
      </w:tblPr>
      <w:tblGrid>
        <w:gridCol w:w="4390"/>
        <w:gridCol w:w="4790"/>
      </w:tblGrid>
      <w:tr w:rsidR="00FA4989" w:rsidRPr="00FA4989" w14:paraId="109E6D98" w14:textId="77777777" w:rsidTr="00783EA1">
        <w:trPr>
          <w:trHeight w:val="113"/>
        </w:trPr>
        <w:tc>
          <w:tcPr>
            <w:tcW w:w="4390" w:type="dxa"/>
          </w:tcPr>
          <w:p w14:paraId="06F00F11" w14:textId="77777777" w:rsidR="00FA4989" w:rsidRPr="00FA4989" w:rsidRDefault="00FA4989" w:rsidP="00216CD6">
            <w:pPr>
              <w:pStyle w:val="DataStyle2"/>
            </w:pPr>
            <w:r w:rsidRPr="00FA4989">
              <w:t>AUTHOR NAME:</w:t>
            </w:r>
          </w:p>
        </w:tc>
        <w:tc>
          <w:tcPr>
            <w:tcW w:w="4790" w:type="dxa"/>
          </w:tcPr>
          <w:p w14:paraId="427EAC22" w14:textId="10491CAE" w:rsidR="00FA4989" w:rsidRPr="00FA4989" w:rsidRDefault="005F49AA" w:rsidP="00EB3A62">
            <w:pPr>
              <w:pStyle w:val="DataStyle2"/>
            </w:pPr>
            <w:r w:rsidRPr="00FA4989">
              <w:fldChar w:fldCharType="begin"/>
            </w:r>
            <w:r w:rsidRPr="00FA4989">
              <w:instrText xml:space="preserve"> MACROBUTTON nomacro    </w:instrText>
            </w:r>
            <w:r w:rsidRPr="00FA4989">
              <w:fldChar w:fldCharType="end"/>
            </w:r>
            <w:r>
              <w:t>Michael Ryan, Benjamin Healy</w:t>
            </w:r>
          </w:p>
        </w:tc>
      </w:tr>
      <w:tr w:rsidR="005F49AA" w:rsidRPr="00FA4989" w14:paraId="7C68579F" w14:textId="77777777" w:rsidTr="00783EA1">
        <w:trPr>
          <w:trHeight w:val="113"/>
        </w:trPr>
        <w:tc>
          <w:tcPr>
            <w:tcW w:w="4390" w:type="dxa"/>
          </w:tcPr>
          <w:p w14:paraId="0160E4B0" w14:textId="77777777" w:rsidR="005F49AA" w:rsidRPr="00FA4989" w:rsidRDefault="005F49AA" w:rsidP="00C55631">
            <w:pPr>
              <w:pStyle w:val="DataStyle2"/>
            </w:pPr>
            <w:r>
              <w:t>DATE</w:t>
            </w:r>
            <w:r w:rsidRPr="00FA4989">
              <w:t>:</w:t>
            </w:r>
          </w:p>
        </w:tc>
        <w:tc>
          <w:tcPr>
            <w:tcW w:w="4790" w:type="dxa"/>
          </w:tcPr>
          <w:p w14:paraId="7D31D940" w14:textId="77777777" w:rsidR="005F49AA" w:rsidRPr="00FA4989" w:rsidRDefault="00B766FB" w:rsidP="00C55631">
            <w:pPr>
              <w:pStyle w:val="DataStyle2"/>
            </w:pPr>
            <w:r>
              <w:t>01 Aug</w:t>
            </w:r>
            <w:r w:rsidR="005F49AA">
              <w:t xml:space="preserve"> 2017</w:t>
            </w:r>
          </w:p>
        </w:tc>
      </w:tr>
    </w:tbl>
    <w:p w14:paraId="49F65F61" w14:textId="77777777" w:rsidR="00AC6E70" w:rsidRDefault="00AC6E70" w:rsidP="000247DC">
      <w:pPr>
        <w:pStyle w:val="BodyText"/>
      </w:pPr>
    </w:p>
    <w:tbl>
      <w:tblPr>
        <w:tblStyle w:val="AEMO09Tablestyle"/>
        <w:tblW w:w="9180" w:type="dxa"/>
        <w:tblLayout w:type="fixed"/>
        <w:tblLook w:val="0000" w:firstRow="0" w:lastRow="0" w:firstColumn="0" w:lastColumn="0" w:noHBand="0" w:noVBand="0"/>
      </w:tblPr>
      <w:tblGrid>
        <w:gridCol w:w="704"/>
        <w:gridCol w:w="8476"/>
      </w:tblGrid>
      <w:tr w:rsidR="00F843D0" w:rsidRPr="00FA4989" w14:paraId="6877F9CE" w14:textId="77777777" w:rsidTr="00C55631">
        <w:trPr>
          <w:trHeight w:val="113"/>
        </w:trPr>
        <w:tc>
          <w:tcPr>
            <w:tcW w:w="9180" w:type="dxa"/>
            <w:gridSpan w:val="2"/>
          </w:tcPr>
          <w:p w14:paraId="33D0B336" w14:textId="03737E5E" w:rsidR="00F843D0" w:rsidRPr="00FA4989" w:rsidRDefault="00F843D0" w:rsidP="0038482A">
            <w:pPr>
              <w:pStyle w:val="DataStyle2"/>
            </w:pPr>
            <w:r>
              <w:t>appendix</w:t>
            </w:r>
          </w:p>
        </w:tc>
      </w:tr>
      <w:tr w:rsidR="00F843D0" w:rsidRPr="00FA4989" w14:paraId="1A6D218A" w14:textId="77777777" w:rsidTr="00C55631">
        <w:trPr>
          <w:trHeight w:val="113"/>
        </w:trPr>
        <w:tc>
          <w:tcPr>
            <w:tcW w:w="704" w:type="dxa"/>
          </w:tcPr>
          <w:p w14:paraId="5DB72FD9" w14:textId="67A952F8" w:rsidR="00F843D0" w:rsidRPr="00FA4989" w:rsidRDefault="00F843D0" w:rsidP="00C55631">
            <w:pPr>
              <w:pStyle w:val="DataStyle2"/>
            </w:pPr>
            <w:r>
              <w:t>a</w:t>
            </w:r>
          </w:p>
        </w:tc>
        <w:tc>
          <w:tcPr>
            <w:tcW w:w="8476" w:type="dxa"/>
          </w:tcPr>
          <w:p w14:paraId="57B373C5" w14:textId="00933590" w:rsidR="00F843D0" w:rsidRPr="00FA4989" w:rsidRDefault="00F843D0" w:rsidP="00C55631">
            <w:pPr>
              <w:pStyle w:val="DataStyle2"/>
            </w:pPr>
            <w:r>
              <w:t>Transition and Cutover Principles</w:t>
            </w:r>
          </w:p>
        </w:tc>
      </w:tr>
    </w:tbl>
    <w:p w14:paraId="1F242D04" w14:textId="77777777" w:rsidR="00F843D0" w:rsidRDefault="00F843D0" w:rsidP="000247DC">
      <w:pPr>
        <w:pStyle w:val="BodyText"/>
      </w:pPr>
    </w:p>
    <w:tbl>
      <w:tblPr>
        <w:tblStyle w:val="AEMO09Tablestyle"/>
        <w:tblW w:w="9180" w:type="dxa"/>
        <w:tblLayout w:type="fixed"/>
        <w:tblLook w:val="0000" w:firstRow="0" w:lastRow="0" w:firstColumn="0" w:lastColumn="0" w:noHBand="0" w:noVBand="0"/>
      </w:tblPr>
      <w:tblGrid>
        <w:gridCol w:w="704"/>
        <w:gridCol w:w="8476"/>
      </w:tblGrid>
      <w:tr w:rsidR="00F80F53" w:rsidRPr="00FA4989" w14:paraId="60C7DC20" w14:textId="77777777" w:rsidTr="00AD0865">
        <w:trPr>
          <w:trHeight w:val="113"/>
        </w:trPr>
        <w:tc>
          <w:tcPr>
            <w:tcW w:w="9180" w:type="dxa"/>
            <w:gridSpan w:val="2"/>
          </w:tcPr>
          <w:p w14:paraId="17C0F6C7" w14:textId="3B5B4AE6" w:rsidR="00F80F53" w:rsidRPr="00FA4989" w:rsidRDefault="00F80F53" w:rsidP="00C94C76">
            <w:pPr>
              <w:pStyle w:val="DataStyle2"/>
            </w:pPr>
            <w:r>
              <w:t>Attachments</w:t>
            </w:r>
          </w:p>
        </w:tc>
      </w:tr>
      <w:tr w:rsidR="00F80F53" w:rsidRPr="00FA4989" w14:paraId="0AFDA1D8" w14:textId="77777777" w:rsidTr="00783EA1">
        <w:trPr>
          <w:trHeight w:val="113"/>
        </w:trPr>
        <w:tc>
          <w:tcPr>
            <w:tcW w:w="704" w:type="dxa"/>
          </w:tcPr>
          <w:p w14:paraId="6E549B6D" w14:textId="113FB43A" w:rsidR="00F80F53" w:rsidRPr="00FA4989" w:rsidRDefault="00F80F53" w:rsidP="00C55631">
            <w:pPr>
              <w:pStyle w:val="DataStyle2"/>
            </w:pPr>
            <w:r>
              <w:t>1.0</w:t>
            </w:r>
          </w:p>
        </w:tc>
        <w:tc>
          <w:tcPr>
            <w:tcW w:w="8476" w:type="dxa"/>
          </w:tcPr>
          <w:p w14:paraId="3EDBA2B4" w14:textId="7916796E" w:rsidR="00F80F53" w:rsidRPr="00FA4989" w:rsidRDefault="00F80F53" w:rsidP="00C55631">
            <w:pPr>
              <w:pStyle w:val="DataStyle2"/>
            </w:pPr>
            <w:r>
              <w:t>initial draft list of scenarios</w:t>
            </w:r>
          </w:p>
        </w:tc>
      </w:tr>
    </w:tbl>
    <w:p w14:paraId="27CC37F5" w14:textId="76DC561F" w:rsidR="0038482A" w:rsidRDefault="0038482A" w:rsidP="0038482A">
      <w:pPr>
        <w:jc w:val="right"/>
      </w:pPr>
    </w:p>
    <w:p w14:paraId="7DE0E136" w14:textId="20E7A968" w:rsidR="0038482A" w:rsidRDefault="0038482A" w:rsidP="0038482A"/>
    <w:p w14:paraId="725AC52F" w14:textId="77777777" w:rsidR="00F843D0" w:rsidRPr="0038482A" w:rsidRDefault="00F843D0" w:rsidP="0038482A">
      <w:pPr>
        <w:sectPr w:rsidR="00F843D0" w:rsidRPr="0038482A" w:rsidSect="007F0B03">
          <w:headerReference w:type="even" r:id="rId15"/>
          <w:footerReference w:type="even" r:id="rId16"/>
          <w:footerReference w:type="default" r:id="rId17"/>
          <w:headerReference w:type="first" r:id="rId18"/>
          <w:footerReference w:type="first" r:id="rId19"/>
          <w:pgSz w:w="11906" w:h="16838" w:code="9"/>
          <w:pgMar w:top="1985" w:right="1418" w:bottom="1276" w:left="1418" w:header="1701" w:footer="567" w:gutter="0"/>
          <w:cols w:space="720"/>
          <w:titlePg/>
          <w:docGrid w:linePitch="360"/>
        </w:sectPr>
      </w:pPr>
    </w:p>
    <w:p w14:paraId="32565F31" w14:textId="0E591E38" w:rsidR="00F80F53" w:rsidRDefault="00F843D0" w:rsidP="0038482A">
      <w:pPr>
        <w:pStyle w:val="Heading1"/>
        <w:numPr>
          <w:ilvl w:val="0"/>
          <w:numId w:val="47"/>
        </w:numPr>
      </w:pPr>
      <w:r w:rsidRPr="00F843D0">
        <w:lastRenderedPageBreak/>
        <w:t>Industry transition and cutover Proposed Guiding principles</w:t>
      </w:r>
    </w:p>
    <w:p w14:paraId="2A7A7EF9" w14:textId="77777777" w:rsidR="00F843D0" w:rsidRDefault="00F843D0" w:rsidP="000247DC">
      <w:pPr>
        <w:pStyle w:val="BodyText"/>
      </w:pPr>
    </w:p>
    <w:p w14:paraId="249D1862" w14:textId="77777777" w:rsidR="008874E1" w:rsidRPr="00F843D0" w:rsidRDefault="00783EA1" w:rsidP="00F843D0">
      <w:pPr>
        <w:pStyle w:val="BodyText"/>
        <w:numPr>
          <w:ilvl w:val="0"/>
          <w:numId w:val="46"/>
        </w:numPr>
      </w:pPr>
      <w:r w:rsidRPr="00F843D0">
        <w:t>NEM participants and AEMO must continue to fulfil all regulatory and compliance obligations during the transition period and perform all necessary activities to comply with their respective obligations under the revised market arrangements from 1 December 2017;</w:t>
      </w:r>
    </w:p>
    <w:p w14:paraId="39BD3D9F" w14:textId="5756A4C9" w:rsidR="008874E1" w:rsidRPr="00F843D0" w:rsidRDefault="00783EA1" w:rsidP="00F843D0">
      <w:pPr>
        <w:pStyle w:val="BodyText"/>
        <w:numPr>
          <w:ilvl w:val="0"/>
          <w:numId w:val="46"/>
        </w:numPr>
      </w:pPr>
      <w:r w:rsidRPr="00F843D0">
        <w:t xml:space="preserve">Minimal disruption to </w:t>
      </w:r>
      <w:r w:rsidRPr="0038482A">
        <w:t>all</w:t>
      </w:r>
      <w:r w:rsidRPr="00F843D0">
        <w:t xml:space="preserve"> customers (large </w:t>
      </w:r>
      <w:r w:rsidRPr="0038482A">
        <w:t xml:space="preserve">and </w:t>
      </w:r>
      <w:r w:rsidRPr="00F843D0">
        <w:t>small</w:t>
      </w:r>
      <w:r w:rsidR="0038482A">
        <w:t>).</w:t>
      </w:r>
    </w:p>
    <w:p w14:paraId="2BF1C452" w14:textId="77777777" w:rsidR="008874E1" w:rsidRPr="00F843D0" w:rsidRDefault="00783EA1" w:rsidP="00F843D0">
      <w:pPr>
        <w:pStyle w:val="BodyText"/>
        <w:numPr>
          <w:ilvl w:val="0"/>
          <w:numId w:val="46"/>
        </w:numPr>
      </w:pPr>
      <w:r w:rsidRPr="00F843D0">
        <w:t>Collaborative approach to Industry Transition and Cutover planning – including the development of supporting templates and materials.</w:t>
      </w:r>
    </w:p>
    <w:p w14:paraId="7505432B" w14:textId="44FEB431" w:rsidR="008874E1" w:rsidRPr="00F843D0" w:rsidRDefault="00783EA1" w:rsidP="00F843D0">
      <w:pPr>
        <w:pStyle w:val="BodyText"/>
        <w:numPr>
          <w:ilvl w:val="0"/>
          <w:numId w:val="46"/>
        </w:numPr>
      </w:pPr>
      <w:r w:rsidRPr="0038482A">
        <w:t>Where possible t</w:t>
      </w:r>
      <w:r w:rsidRPr="00F843D0">
        <w:t xml:space="preserve">ransition arrangements and activities </w:t>
      </w:r>
      <w:r w:rsidRPr="0038482A">
        <w:t>should</w:t>
      </w:r>
      <w:r w:rsidRPr="00F843D0">
        <w:t xml:space="preserve"> be relevant and cost effective </w:t>
      </w:r>
      <w:r w:rsidRPr="0038482A">
        <w:t>for market participants and customers</w:t>
      </w:r>
      <w:r w:rsidRPr="00F843D0">
        <w:t>;</w:t>
      </w:r>
    </w:p>
    <w:p w14:paraId="65EED077" w14:textId="255BB063" w:rsidR="008874E1" w:rsidRPr="00F843D0" w:rsidRDefault="00783EA1" w:rsidP="00F843D0">
      <w:pPr>
        <w:pStyle w:val="BodyText"/>
        <w:numPr>
          <w:ilvl w:val="0"/>
          <w:numId w:val="46"/>
        </w:numPr>
      </w:pPr>
      <w:r w:rsidRPr="00F843D0">
        <w:t xml:space="preserve">Each NEM participant and AEMO is responsible for developing their own internal transition and cutover plans </w:t>
      </w:r>
      <w:r w:rsidRPr="0038482A">
        <w:t>and where practical and possible will endeavour to find a common approach. These plans should</w:t>
      </w:r>
      <w:r w:rsidRPr="00F843D0">
        <w:t xml:space="preserve"> hav</w:t>
      </w:r>
      <w:r w:rsidRPr="0038482A">
        <w:t>e</w:t>
      </w:r>
      <w:r w:rsidRPr="00F843D0">
        <w:t xml:space="preserve"> regard to the key activities and dates set out in the Industry Transition and Cutover Plan.</w:t>
      </w:r>
    </w:p>
    <w:p w14:paraId="15C04B36" w14:textId="3DC182C1" w:rsidR="008874E1" w:rsidRPr="00F843D0" w:rsidRDefault="00783EA1" w:rsidP="00F843D0">
      <w:pPr>
        <w:pStyle w:val="BodyText"/>
        <w:numPr>
          <w:ilvl w:val="0"/>
          <w:numId w:val="46"/>
        </w:numPr>
      </w:pPr>
      <w:r w:rsidRPr="0038482A">
        <w:t xml:space="preserve">Where possible, all </w:t>
      </w:r>
      <w:r w:rsidRPr="00F843D0">
        <w:t xml:space="preserve">transactions begin and end under </w:t>
      </w:r>
      <w:r w:rsidRPr="0038482A">
        <w:t>the</w:t>
      </w:r>
      <w:r w:rsidRPr="00F843D0">
        <w:t xml:space="preserve"> same rules. </w:t>
      </w:r>
      <w:r w:rsidRPr="0038482A">
        <w:t>Where this is not possible, a suitable workaround is to be agreed by market participants</w:t>
      </w:r>
      <w:r w:rsidRPr="00F843D0">
        <w:t>;</w:t>
      </w:r>
    </w:p>
    <w:p w14:paraId="0D121243" w14:textId="3295E15E" w:rsidR="008874E1" w:rsidRPr="00F843D0" w:rsidRDefault="00783EA1" w:rsidP="00F843D0">
      <w:pPr>
        <w:pStyle w:val="BodyText"/>
        <w:numPr>
          <w:ilvl w:val="0"/>
          <w:numId w:val="46"/>
        </w:numPr>
      </w:pPr>
      <w:r w:rsidRPr="00F843D0">
        <w:t xml:space="preserve">Where possible and practicable to do so, minimise and effectively manage the number of </w:t>
      </w:r>
      <w:r w:rsidR="0038482A" w:rsidRPr="00F843D0">
        <w:t>in-flight</w:t>
      </w:r>
      <w:r w:rsidRPr="00F843D0">
        <w:t xml:space="preserve"> transactions during cutover activities;</w:t>
      </w:r>
    </w:p>
    <w:p w14:paraId="09535E4C" w14:textId="77777777" w:rsidR="008874E1" w:rsidRPr="00F843D0" w:rsidRDefault="00783EA1" w:rsidP="00F843D0">
      <w:pPr>
        <w:pStyle w:val="BodyText"/>
        <w:numPr>
          <w:ilvl w:val="0"/>
          <w:numId w:val="46"/>
        </w:numPr>
      </w:pPr>
      <w:r w:rsidRPr="00F843D0">
        <w:t xml:space="preserve">Issues and risks that may affect industry transition and cutover are to be communicated to AEMO as early as possible in order to facilitate an assessment of potential impacts. AEMO will subsequently escalate any industry relevant matters to the </w:t>
      </w:r>
      <w:r w:rsidRPr="0038482A">
        <w:t xml:space="preserve">Readiness Working Group </w:t>
      </w:r>
      <w:r w:rsidRPr="00F843D0">
        <w:t>or appropriate forum.</w:t>
      </w:r>
    </w:p>
    <w:p w14:paraId="5E5547CC" w14:textId="77777777" w:rsidR="008874E1" w:rsidRPr="00F843D0" w:rsidRDefault="00783EA1" w:rsidP="00F843D0">
      <w:pPr>
        <w:pStyle w:val="BodyText"/>
        <w:numPr>
          <w:ilvl w:val="0"/>
          <w:numId w:val="46"/>
        </w:numPr>
      </w:pPr>
      <w:r w:rsidRPr="00F843D0">
        <w:t>The industry cutover approach will be based on a ‘fix-on-fail/roll-forward’ approach in which AEMO and all Participants will commit to cutting over and avoid rollback by addressing any problems as and when they arise;</w:t>
      </w:r>
    </w:p>
    <w:p w14:paraId="08B0542D" w14:textId="3ABC78B5" w:rsidR="008874E1" w:rsidRPr="00F843D0" w:rsidRDefault="00783EA1" w:rsidP="00F843D0">
      <w:pPr>
        <w:pStyle w:val="BodyText"/>
        <w:numPr>
          <w:ilvl w:val="0"/>
          <w:numId w:val="46"/>
        </w:numPr>
      </w:pPr>
      <w:r w:rsidRPr="00F843D0">
        <w:t xml:space="preserve">If participants have system readiness issues </w:t>
      </w:r>
      <w:r w:rsidRPr="0038482A">
        <w:t>at the time of cutover and</w:t>
      </w:r>
      <w:r w:rsidRPr="00F843D0">
        <w:t xml:space="preserve"> they must implement contingency (e.g. manual) arrangements in their organisations</w:t>
      </w:r>
      <w:r w:rsidRPr="0038482A">
        <w:t xml:space="preserve">, they must </w:t>
      </w:r>
      <w:r w:rsidRPr="00F843D0">
        <w:t xml:space="preserve">notify </w:t>
      </w:r>
      <w:r w:rsidRPr="0038482A">
        <w:t xml:space="preserve">AEMO and </w:t>
      </w:r>
      <w:r w:rsidRPr="00F843D0">
        <w:t>the market as soon as possible.</w:t>
      </w:r>
    </w:p>
    <w:p w14:paraId="6F99E782" w14:textId="77777777" w:rsidR="008874E1" w:rsidRPr="00F843D0" w:rsidRDefault="00783EA1" w:rsidP="00F843D0">
      <w:pPr>
        <w:pStyle w:val="BodyText"/>
        <w:numPr>
          <w:ilvl w:val="0"/>
          <w:numId w:val="46"/>
        </w:numPr>
      </w:pPr>
      <w:r w:rsidRPr="0038482A">
        <w:t>All participants will adopt and follow the POC Industry Transition and Cutover plan.</w:t>
      </w:r>
    </w:p>
    <w:p w14:paraId="7E536A06" w14:textId="77777777" w:rsidR="008874E1" w:rsidRPr="00F843D0" w:rsidRDefault="00783EA1" w:rsidP="00F843D0">
      <w:pPr>
        <w:pStyle w:val="BodyText"/>
        <w:numPr>
          <w:ilvl w:val="0"/>
          <w:numId w:val="46"/>
        </w:numPr>
      </w:pPr>
      <w:r w:rsidRPr="0038482A">
        <w:t>The Industry Transition and Cutover Plan will endeavour to limit jurisdictional differences for transition and cutover activities.</w:t>
      </w:r>
    </w:p>
    <w:p w14:paraId="3865F000" w14:textId="77777777" w:rsidR="00F843D0" w:rsidRDefault="00F843D0" w:rsidP="000247DC">
      <w:pPr>
        <w:pStyle w:val="BodyText"/>
      </w:pPr>
      <w:bookmarkStart w:id="0" w:name="_GoBack"/>
      <w:bookmarkEnd w:id="0"/>
    </w:p>
    <w:sectPr w:rsidR="00F843D0" w:rsidSect="0038482A">
      <w:headerReference w:type="first" r:id="rId20"/>
      <w:pgSz w:w="11906" w:h="16838" w:code="9"/>
      <w:pgMar w:top="1706" w:right="1418" w:bottom="1276"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3BCA3" w14:textId="77777777" w:rsidR="003C3A88" w:rsidRDefault="003C3A88" w:rsidP="001E3981">
      <w:r>
        <w:separator/>
      </w:r>
    </w:p>
  </w:endnote>
  <w:endnote w:type="continuationSeparator" w:id="0">
    <w:p w14:paraId="5998E2E2" w14:textId="77777777" w:rsidR="003C3A88" w:rsidRDefault="003C3A88"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6F34" w14:textId="7D0268CE" w:rsidR="00A61FF6" w:rsidRPr="00911ED3" w:rsidRDefault="003903ED" w:rsidP="00911ED3">
    <w:pPr>
      <w:pStyle w:val="Footer"/>
      <w:tabs>
        <w:tab w:val="clear" w:pos="9072"/>
        <w:tab w:val="left" w:pos="0"/>
      </w:tabs>
      <w:rPr>
        <w:szCs w:val="16"/>
      </w:rPr>
    </w:pPr>
    <w:r w:rsidRPr="00911ED3">
      <w:rPr>
        <w:szCs w:val="16"/>
      </w:rPr>
      <w:fldChar w:fldCharType="begin"/>
    </w:r>
    <w:r w:rsidR="00A61FF6" w:rsidRPr="00911ED3">
      <w:rPr>
        <w:szCs w:val="16"/>
      </w:rPr>
      <w:instrText xml:space="preserve"> FILENAME  \* Upper </w:instrText>
    </w:r>
    <w:r w:rsidRPr="00911ED3">
      <w:rPr>
        <w:szCs w:val="16"/>
      </w:rPr>
      <w:fldChar w:fldCharType="separate"/>
    </w:r>
    <w:r w:rsidR="00C94C76">
      <w:rPr>
        <w:caps w:val="0"/>
        <w:noProof/>
        <w:szCs w:val="16"/>
      </w:rPr>
      <w:t>AEMO PAPER CONTINGENCY PLANNING APPROACH</w:t>
    </w:r>
    <w:r w:rsidRPr="00911ED3">
      <w:rPr>
        <w:szCs w:val="16"/>
      </w:rPr>
      <w:fldChar w:fldCharType="end"/>
    </w:r>
    <w:r w:rsidR="001331A0">
      <w:rPr>
        <w:noProof/>
        <w:szCs w:val="16"/>
      </w:rPr>
      <mc:AlternateContent>
        <mc:Choice Requires="wps">
          <w:drawing>
            <wp:anchor distT="0" distB="0" distL="114300" distR="114300" simplePos="0" relativeHeight="251658752" behindDoc="1" locked="1" layoutInCell="1" allowOverlap="1" wp14:anchorId="5FA3827F" wp14:editId="1ED222A6">
              <wp:simplePos x="0" y="0"/>
              <wp:positionH relativeFrom="page">
                <wp:posOffset>914400</wp:posOffset>
              </wp:positionH>
              <wp:positionV relativeFrom="page">
                <wp:posOffset>10020300</wp:posOffset>
              </wp:positionV>
              <wp:extent cx="5734050" cy="0"/>
              <wp:effectExtent l="9525" t="9525" r="9525" b="9525"/>
              <wp:wrapNone/>
              <wp:docPr id="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4312B84" id="Line 15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89pt" to="523.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1VKgIAAGE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" strokecolor="black [3213]" strokeweight=".4pt">
              <w10:wrap anchorx="page" anchory="page"/>
              <w10:anchorlock/>
            </v:line>
          </w:pict>
        </mc:Fallback>
      </mc:AlternateContent>
    </w:r>
    <w:r w:rsidR="00A61FF6" w:rsidRPr="00911ED3">
      <w:rPr>
        <w:szCs w:val="16"/>
      </w:rPr>
      <w:tab/>
    </w:r>
  </w:p>
  <w:p w14:paraId="6ACD165F" w14:textId="78AAC861" w:rsidR="00A61FF6" w:rsidRPr="00911ED3" w:rsidRDefault="00A61FF6" w:rsidP="00911ED3">
    <w:pPr>
      <w:pStyle w:val="DataStyle"/>
      <w:tabs>
        <w:tab w:val="left" w:pos="3544"/>
        <w:tab w:val="left" w:pos="5245"/>
        <w:tab w:val="left" w:pos="8080"/>
      </w:tabs>
      <w:rPr>
        <w:color w:val="auto"/>
        <w:sz w:val="16"/>
        <w:szCs w:val="16"/>
      </w:rPr>
    </w:pPr>
    <w:r w:rsidRPr="00911ED3">
      <w:rPr>
        <w:color w:val="auto"/>
        <w:sz w:val="16"/>
        <w:szCs w:val="16"/>
      </w:rPr>
      <w:t xml:space="preserve">BOARD MEETING </w:t>
    </w:r>
    <w:sdt>
      <w:sdtPr>
        <w:rPr>
          <w:color w:val="auto"/>
          <w:sz w:val="16"/>
          <w:szCs w:val="16"/>
        </w:rPr>
        <w:alias w:val="Meeting Date"/>
        <w:tag w:val="Meeting Date"/>
        <w:id w:val="1942105831"/>
        <w:dataBinding w:prefixMappings="xmlns:ns0='http://schemas.microsoft.com/office/2006/coverPageProps' " w:xpath="/ns0:CoverPageProperties[1]/ns0:PublishDate[1]" w:storeItemID="{55AF091B-3C7A-41E3-B477-F2FDAA23CFDA}"/>
        <w:date w:fullDate="2017-08-10T00:00:00Z">
          <w:dateFormat w:val="d MMMM yyyy"/>
          <w:lid w:val="en-AU"/>
          <w:storeMappedDataAs w:val="dateTime"/>
          <w:calendar w:val="gregorian"/>
        </w:date>
      </w:sdtPr>
      <w:sdtEndPr/>
      <w:sdtContent>
        <w:r w:rsidR="00467DBC">
          <w:rPr>
            <w:color w:val="auto"/>
            <w:sz w:val="16"/>
            <w:szCs w:val="16"/>
          </w:rPr>
          <w:t>10 August 2017</w:t>
        </w:r>
      </w:sdtContent>
    </w:sdt>
    <w:r w:rsidRPr="00911ED3">
      <w:rPr>
        <w:color w:val="auto"/>
        <w:sz w:val="16"/>
        <w:szCs w:val="16"/>
      </w:rPr>
      <w:tab/>
    </w:r>
    <w:sdt>
      <w:sdtPr>
        <w:rPr>
          <w:color w:val="auto"/>
          <w:sz w:val="16"/>
          <w:szCs w:val="16"/>
        </w:rPr>
        <w:alias w:val="AGENDA ITEM"/>
        <w:tag w:val="AGENDA ITEM"/>
        <w:id w:val="-1325191582"/>
        <w:dataBinding w:prefixMappings="xmlns:ns0='http://purl.org/dc/elements/1.1/' xmlns:ns1='http://schemas.openxmlformats.org/package/2006/metadata/core-properties' " w:xpath="/ns1:coreProperties[1]/ns1:keywords[1]" w:storeItemID="{6C3C8BC8-F283-45AE-878A-BAB7291924A1}"/>
        <w:text/>
      </w:sdtPr>
      <w:sdtEndPr/>
      <w:sdtContent>
        <w:r w:rsidR="00C94C76">
          <w:rPr>
            <w:color w:val="auto"/>
            <w:sz w:val="16"/>
            <w:szCs w:val="16"/>
          </w:rPr>
          <w:t>N/A</w:t>
        </w:r>
      </w:sdtContent>
    </w:sdt>
    <w:r w:rsidRPr="00911ED3">
      <w:rPr>
        <w:color w:val="auto"/>
        <w:sz w:val="16"/>
        <w:szCs w:val="16"/>
      </w:rPr>
      <w:tab/>
    </w:r>
    <w:sdt>
      <w:sdtPr>
        <w:rPr>
          <w:color w:val="auto"/>
          <w:sz w:val="16"/>
          <w:szCs w:val="16"/>
        </w:rPr>
        <w:id w:val="-1159922024"/>
        <w:docPartObj>
          <w:docPartGallery w:val="Page Numbers (Top of Page)"/>
          <w:docPartUnique/>
        </w:docPartObj>
      </w:sdtPr>
      <w:sdtEndPr/>
      <w:sdtContent>
        <w:r w:rsidRPr="00911ED3">
          <w:rPr>
            <w:color w:val="auto"/>
            <w:sz w:val="16"/>
            <w:szCs w:val="16"/>
          </w:rPr>
          <w:t xml:space="preserve">Page </w:t>
        </w:r>
        <w:r w:rsidR="003903ED" w:rsidRPr="00911ED3">
          <w:rPr>
            <w:caps w:val="0"/>
            <w:color w:val="auto"/>
            <w:sz w:val="16"/>
            <w:szCs w:val="16"/>
          </w:rPr>
          <w:fldChar w:fldCharType="begin"/>
        </w:r>
        <w:r w:rsidRPr="00911ED3">
          <w:rPr>
            <w:color w:val="auto"/>
            <w:sz w:val="16"/>
            <w:szCs w:val="16"/>
          </w:rPr>
          <w:instrText xml:space="preserve"> PAGE </w:instrText>
        </w:r>
        <w:r w:rsidR="003903ED" w:rsidRPr="00911ED3">
          <w:rPr>
            <w:caps w:val="0"/>
            <w:color w:val="auto"/>
            <w:sz w:val="16"/>
            <w:szCs w:val="16"/>
          </w:rPr>
          <w:fldChar w:fldCharType="separate"/>
        </w:r>
        <w:r>
          <w:rPr>
            <w:noProof/>
            <w:color w:val="auto"/>
            <w:sz w:val="16"/>
            <w:szCs w:val="16"/>
          </w:rPr>
          <w:t>2</w:t>
        </w:r>
        <w:r w:rsidR="003903ED" w:rsidRPr="00911ED3">
          <w:rPr>
            <w:caps w:val="0"/>
            <w:color w:val="auto"/>
            <w:sz w:val="16"/>
            <w:szCs w:val="16"/>
          </w:rPr>
          <w:fldChar w:fldCharType="end"/>
        </w:r>
        <w:r w:rsidRPr="00911ED3">
          <w:rPr>
            <w:color w:val="auto"/>
            <w:sz w:val="16"/>
            <w:szCs w:val="16"/>
          </w:rPr>
          <w:t xml:space="preserve"> of </w:t>
        </w:r>
        <w:r w:rsidR="003903ED" w:rsidRPr="00911ED3">
          <w:rPr>
            <w:caps w:val="0"/>
            <w:color w:val="auto"/>
            <w:sz w:val="16"/>
            <w:szCs w:val="16"/>
          </w:rPr>
          <w:fldChar w:fldCharType="begin"/>
        </w:r>
        <w:r w:rsidRPr="00911ED3">
          <w:rPr>
            <w:color w:val="auto"/>
            <w:sz w:val="16"/>
            <w:szCs w:val="16"/>
          </w:rPr>
          <w:instrText xml:space="preserve"> NUMPAGES  </w:instrText>
        </w:r>
        <w:r w:rsidR="003903ED" w:rsidRPr="00911ED3">
          <w:rPr>
            <w:caps w:val="0"/>
            <w:color w:val="auto"/>
            <w:sz w:val="16"/>
            <w:szCs w:val="16"/>
          </w:rPr>
          <w:fldChar w:fldCharType="separate"/>
        </w:r>
        <w:r w:rsidR="00C94C76">
          <w:rPr>
            <w:noProof/>
            <w:color w:val="auto"/>
            <w:sz w:val="16"/>
            <w:szCs w:val="16"/>
          </w:rPr>
          <w:t>1</w:t>
        </w:r>
        <w:r w:rsidR="003903ED" w:rsidRPr="00911ED3">
          <w:rPr>
            <w:caps w:val="0"/>
            <w:color w:val="auto"/>
            <w:sz w:val="16"/>
            <w:szCs w:val="16"/>
          </w:rPr>
          <w:fldChar w:fldCharType="end"/>
        </w:r>
      </w:sdtContent>
    </w:sdt>
  </w:p>
  <w:p w14:paraId="58E03DB6" w14:textId="77777777" w:rsidR="00A61FF6" w:rsidRPr="00911ED3" w:rsidRDefault="00A61FF6" w:rsidP="00911ED3">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2D0E" w14:textId="13E29D19" w:rsidR="00A61FF6" w:rsidRPr="00C04A91" w:rsidRDefault="00467DBC" w:rsidP="00CA51C0">
    <w:pPr>
      <w:pStyle w:val="Footer"/>
      <w:pBdr>
        <w:top w:val="single" w:sz="4" w:space="0" w:color="948671"/>
      </w:pBdr>
    </w:pPr>
    <w:r>
      <w:t>POC EXECUTIVE FORUM</w:t>
    </w:r>
    <w:r w:rsidR="00A61FF6" w:rsidRPr="00C04A91">
      <w:t xml:space="preserve"> </w:t>
    </w:r>
    <w:sdt>
      <w:sdtPr>
        <w:alias w:val="Meeting Date"/>
        <w:tag w:val="Meeting Date"/>
        <w:id w:val="2012400795"/>
        <w:dataBinding w:prefixMappings="xmlns:ns0='http://schemas.microsoft.com/office/2006/coverPageProps' " w:xpath="/ns0:CoverPageProperties[1]/ns0:PublishDate[1]" w:storeItemID="{55AF091B-3C7A-41E3-B477-F2FDAA23CFDA}"/>
        <w:date w:fullDate="2017-08-10T00:00:00Z">
          <w:dateFormat w:val="d MMMM yyyy"/>
          <w:lid w:val="en-AU"/>
          <w:storeMappedDataAs w:val="dateTime"/>
          <w:calendar w:val="gregorian"/>
        </w:date>
      </w:sdtPr>
      <w:sdtEndPr/>
      <w:sdtContent>
        <w:r>
          <w:t>10 August 2017</w:t>
        </w:r>
      </w:sdtContent>
    </w:sdt>
    <w:r w:rsidR="00A61FF6" w:rsidRPr="00C04A91">
      <w:tab/>
    </w:r>
    <w:r w:rsidR="00A61FF6">
      <w:t xml:space="preserve">AGENDA ITEM: </w:t>
    </w:r>
    <w:sdt>
      <w:sdtPr>
        <w:alias w:val="AGENDA ITEM"/>
        <w:tag w:val="AGENDA ITEM"/>
        <w:id w:val="-937908493"/>
        <w:dataBinding w:prefixMappings="xmlns:ns0='http://purl.org/dc/elements/1.1/' xmlns:ns1='http://schemas.openxmlformats.org/package/2006/metadata/core-properties' " w:xpath="/ns1:coreProperties[1]/ns1:keywords[1]" w:storeItemID="{6C3C8BC8-F283-45AE-878A-BAB7291924A1}"/>
        <w:text/>
      </w:sdtPr>
      <w:sdtEndPr/>
      <w:sdtContent>
        <w:r w:rsidR="00C94C76">
          <w:t>N/A</w:t>
        </w:r>
      </w:sdtContent>
    </w:sdt>
    <w:r w:rsidR="00A61FF6" w:rsidRPr="00C04A91">
      <w:tab/>
    </w:r>
    <w:sdt>
      <w:sdtPr>
        <w:id w:val="237213351"/>
        <w:docPartObj>
          <w:docPartGallery w:val="Page Numbers (Top of Page)"/>
          <w:docPartUnique/>
        </w:docPartObj>
      </w:sdtPr>
      <w:sdtEndPr/>
      <w:sdtContent>
        <w:r w:rsidR="00A61FF6" w:rsidRPr="00C04A91">
          <w:t xml:space="preserve">Page </w:t>
        </w:r>
        <w:r w:rsidR="001331A0">
          <w:fldChar w:fldCharType="begin"/>
        </w:r>
        <w:r w:rsidR="001331A0">
          <w:instrText xml:space="preserve"> PAGE </w:instrText>
        </w:r>
        <w:r w:rsidR="001331A0">
          <w:fldChar w:fldCharType="separate"/>
        </w:r>
        <w:r>
          <w:rPr>
            <w:noProof/>
          </w:rPr>
          <w:t>3</w:t>
        </w:r>
        <w:r w:rsidR="001331A0">
          <w:rPr>
            <w:noProof/>
          </w:rPr>
          <w:fldChar w:fldCharType="end"/>
        </w:r>
        <w:r w:rsidR="00A61FF6" w:rsidRPr="00C04A91">
          <w:t xml:space="preserve"> of </w:t>
        </w:r>
        <w:fldSimple w:instr=" NUMPAGES  ">
          <w:r>
            <w:rPr>
              <w:noProof/>
            </w:rPr>
            <w:t>4</w:t>
          </w:r>
        </w:fldSimple>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4BD33" w14:textId="6CAEC405" w:rsidR="00A61FF6" w:rsidRPr="00CA51C0" w:rsidRDefault="00467DBC" w:rsidP="00CA51C0">
    <w:pPr>
      <w:pStyle w:val="Footer"/>
    </w:pPr>
    <w:r>
      <w:t>POC Executive forum</w:t>
    </w:r>
    <w:r w:rsidR="00A61FF6" w:rsidRPr="00CA51C0">
      <w:t xml:space="preserve"> </w:t>
    </w:r>
    <w:sdt>
      <w:sdtPr>
        <w:alias w:val="Meeting Date"/>
        <w:tag w:val="Meeting Date"/>
        <w:id w:val="-452792411"/>
        <w:dataBinding w:prefixMappings="xmlns:ns0='http://schemas.microsoft.com/office/2006/coverPageProps' " w:xpath="/ns0:CoverPageProperties[1]/ns0:PublishDate[1]" w:storeItemID="{55AF091B-3C7A-41E3-B477-F2FDAA23CFDA}"/>
        <w:date w:fullDate="2017-08-10T00:00:00Z">
          <w:dateFormat w:val="d MMMM yyyy"/>
          <w:lid w:val="en-AU"/>
          <w:storeMappedDataAs w:val="dateTime"/>
          <w:calendar w:val="gregorian"/>
        </w:date>
      </w:sdtPr>
      <w:sdtEndPr/>
      <w:sdtContent>
        <w:r>
          <w:t>10 August 2017</w:t>
        </w:r>
      </w:sdtContent>
    </w:sdt>
    <w:r w:rsidR="00A61FF6" w:rsidRPr="00CA51C0">
      <w:tab/>
      <w:t xml:space="preserve">AGENDA ITEM: </w:t>
    </w:r>
    <w:sdt>
      <w:sdtPr>
        <w:alias w:val="AGENDA ITEM"/>
        <w:tag w:val="AGENDA ITEM"/>
        <w:id w:val="5113157"/>
        <w:dataBinding w:prefixMappings="xmlns:ns0='http://purl.org/dc/elements/1.1/' xmlns:ns1='http://schemas.openxmlformats.org/package/2006/metadata/core-properties' " w:xpath="/ns1:coreProperties[1]/ns1:keywords[1]" w:storeItemID="{6C3C8BC8-F283-45AE-878A-BAB7291924A1}"/>
        <w:text/>
      </w:sdtPr>
      <w:sdtEndPr/>
      <w:sdtContent>
        <w:r w:rsidR="00C94C76">
          <w:t>N/A</w:t>
        </w:r>
      </w:sdtContent>
    </w:sdt>
    <w:r w:rsidR="00A61FF6" w:rsidRPr="00CA51C0">
      <w:tab/>
    </w:r>
    <w:sdt>
      <w:sdtPr>
        <w:id w:val="1936850650"/>
        <w:docPartObj>
          <w:docPartGallery w:val="Page Numbers (Top of Page)"/>
          <w:docPartUnique/>
        </w:docPartObj>
      </w:sdtPr>
      <w:sdtEndPr/>
      <w:sdtContent>
        <w:r w:rsidR="00A61FF6" w:rsidRPr="00CA51C0">
          <w:t xml:space="preserve">Page </w:t>
        </w:r>
        <w:r w:rsidR="001331A0">
          <w:fldChar w:fldCharType="begin"/>
        </w:r>
        <w:r w:rsidR="001331A0">
          <w:instrText xml:space="preserve"> PAGE </w:instrText>
        </w:r>
        <w:r w:rsidR="001331A0">
          <w:fldChar w:fldCharType="separate"/>
        </w:r>
        <w:r>
          <w:rPr>
            <w:noProof/>
          </w:rPr>
          <w:t>1</w:t>
        </w:r>
        <w:r w:rsidR="001331A0">
          <w:rPr>
            <w:noProof/>
          </w:rPr>
          <w:fldChar w:fldCharType="end"/>
        </w:r>
        <w:r w:rsidR="00A61FF6" w:rsidRPr="00CA51C0">
          <w:t xml:space="preserve"> of </w:t>
        </w:r>
        <w:fldSimple w:instr=" NUMPAGES  ">
          <w:r>
            <w:rPr>
              <w:noProof/>
            </w:rPr>
            <w:t>4</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4EC83" w14:textId="77777777" w:rsidR="003C3A88" w:rsidRDefault="003C3A88" w:rsidP="001E3981">
      <w:r>
        <w:separator/>
      </w:r>
    </w:p>
  </w:footnote>
  <w:footnote w:type="continuationSeparator" w:id="0">
    <w:p w14:paraId="3C9289DF" w14:textId="77777777" w:rsidR="003C3A88" w:rsidRDefault="003C3A88" w:rsidP="001E3981">
      <w:r>
        <w:continuationSeparator/>
      </w:r>
    </w:p>
  </w:footnote>
  <w:footnote w:id="1">
    <w:p w14:paraId="02B8F9AF" w14:textId="0805CFE2" w:rsidR="00346601" w:rsidRDefault="00346601">
      <w:pPr>
        <w:pStyle w:val="FootnoteText"/>
      </w:pPr>
      <w:r>
        <w:rPr>
          <w:rStyle w:val="FootnoteReference"/>
        </w:rPr>
        <w:footnoteRef/>
      </w:r>
      <w:r>
        <w:t xml:space="preserve"> AEMO notes that the system cu</w:t>
      </w:r>
      <w:r w:rsidR="007A6FCD">
        <w:t>t</w:t>
      </w:r>
      <w:r>
        <w:t>-over will occur over the first weekend in December making the effective date for the Rules Monday 4</w:t>
      </w:r>
      <w:r w:rsidRPr="00EB3A62">
        <w:rPr>
          <w:vertAlign w:val="superscript"/>
        </w:rPr>
        <w:t>th</w:t>
      </w:r>
      <w:r>
        <w:t xml:space="preserve"> December. AEMO / AER are formalising this approach through AER processes. </w:t>
      </w:r>
    </w:p>
  </w:footnote>
  <w:footnote w:id="2">
    <w:p w14:paraId="0D4F5B62" w14:textId="77777777" w:rsidR="00B52E30" w:rsidRDefault="00B52E30">
      <w:pPr>
        <w:pStyle w:val="FootnoteText"/>
      </w:pPr>
      <w:r>
        <w:rPr>
          <w:rStyle w:val="FootnoteReference"/>
        </w:rPr>
        <w:footnoteRef/>
      </w:r>
      <w:r>
        <w:t xml:space="preserve"> AEMO notes that the progress of industry planning relies on the support provided by participants.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D1231" w14:textId="77777777" w:rsidR="00A61FF6" w:rsidRDefault="00A61FF6">
    <w:pPr>
      <w:pStyle w:val="Header"/>
    </w:pPr>
    <w:r w:rsidRPr="002936A0">
      <w:rPr>
        <w:noProof/>
      </w:rPr>
      <w:drawing>
        <wp:anchor distT="0" distB="0" distL="114300" distR="114300" simplePos="0" relativeHeight="251657728" behindDoc="1" locked="1" layoutInCell="1" allowOverlap="1" wp14:anchorId="374980D9" wp14:editId="19E0C99E">
          <wp:simplePos x="0" y="0"/>
          <wp:positionH relativeFrom="page">
            <wp:posOffset>5010150</wp:posOffset>
          </wp:positionH>
          <wp:positionV relativeFrom="page">
            <wp:posOffset>495300</wp:posOffset>
          </wp:positionV>
          <wp:extent cx="1990725" cy="657225"/>
          <wp:effectExtent l="19050" t="0" r="9525" b="0"/>
          <wp:wrapNone/>
          <wp:docPr id="21"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1D610" w14:textId="77777777" w:rsidR="00A61FF6" w:rsidRPr="00201677" w:rsidRDefault="00A61FF6" w:rsidP="00310250">
    <w:pPr>
      <w:pStyle w:val="BodyText"/>
    </w:pPr>
    <w:r w:rsidRPr="00216CD6">
      <w:rPr>
        <w:noProof/>
      </w:rPr>
      <w:drawing>
        <wp:anchor distT="0" distB="0" distL="114300" distR="114300" simplePos="0" relativeHeight="251656704" behindDoc="1" locked="1" layoutInCell="1" allowOverlap="1" wp14:anchorId="7E87EBFB" wp14:editId="3F74E66F">
          <wp:simplePos x="0" y="0"/>
          <wp:positionH relativeFrom="page">
            <wp:posOffset>5038725</wp:posOffset>
          </wp:positionH>
          <wp:positionV relativeFrom="page">
            <wp:posOffset>561975</wp:posOffset>
          </wp:positionV>
          <wp:extent cx="1990725" cy="657225"/>
          <wp:effectExtent l="19050" t="0" r="0" b="0"/>
          <wp:wrapNone/>
          <wp:docPr id="22"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7550" cy="66040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1A6A" w14:textId="5A5F6CD2" w:rsidR="00F843D0" w:rsidRPr="0038482A" w:rsidRDefault="00F843D0" w:rsidP="00783EA1">
    <w:pPr>
      <w:pStyle w:val="BodyText"/>
      <w:jc w:val="right"/>
      <w:rPr>
        <w:b/>
        <w:color w:val="1E4164" w:themeColor="accent1"/>
      </w:rPr>
    </w:pPr>
    <w:r w:rsidRPr="0038482A">
      <w:rPr>
        <w:b/>
        <w:color w:val="1E4164" w:themeColor="accent1"/>
      </w:rPr>
      <w:t>Appendix A to</w:t>
    </w:r>
  </w:p>
  <w:p w14:paraId="40FECEBB" w14:textId="71B525C5" w:rsidR="00F843D0" w:rsidRPr="0038482A" w:rsidRDefault="00F843D0" w:rsidP="00783EA1">
    <w:pPr>
      <w:pStyle w:val="BodyText"/>
      <w:jc w:val="right"/>
      <w:rPr>
        <w:b/>
        <w:color w:val="1E4164" w:themeColor="accent1"/>
      </w:rPr>
    </w:pPr>
    <w:r w:rsidRPr="0038482A">
      <w:rPr>
        <w:b/>
        <w:color w:val="1E4164" w:themeColor="accent1"/>
      </w:rPr>
      <w:t>AEMO Paper Contingency Planning Approach</w:t>
    </w:r>
  </w:p>
  <w:p w14:paraId="77ADC018" w14:textId="28F4A8F6" w:rsidR="0038482A" w:rsidRPr="0038482A" w:rsidRDefault="0038482A" w:rsidP="0038482A">
    <w:pPr>
      <w:pStyle w:val="BodyText"/>
      <w:jc w:val="right"/>
      <w:rPr>
        <w:b/>
        <w:color w:val="1E4164" w:themeColor="accent1"/>
      </w:rPr>
    </w:pPr>
    <w:r w:rsidRPr="0038482A">
      <w:rPr>
        <w:b/>
        <w:color w:val="1E4164" w:themeColor="accent1"/>
      </w:rPr>
      <w:t>August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ECC82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E2EE4AF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A3E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1BAD3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05914A83"/>
    <w:multiLevelType w:val="hybridMultilevel"/>
    <w:tmpl w:val="40E4E494"/>
    <w:lvl w:ilvl="0" w:tplc="B35078DE">
      <w:start w:val="1"/>
      <w:numFmt w:val="bullet"/>
      <w:lvlText w:val=""/>
      <w:lvlJc w:val="left"/>
      <w:pPr>
        <w:ind w:left="1570" w:hanging="360"/>
      </w:pPr>
      <w:rPr>
        <w:rFonts w:ascii="Wingdings" w:hAnsi="Wingdings"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5" w15:restartNumberingAfterBreak="0">
    <w:nsid w:val="09AB039B"/>
    <w:multiLevelType w:val="hybridMultilevel"/>
    <w:tmpl w:val="0DDE6E9E"/>
    <w:lvl w:ilvl="0" w:tplc="8F2AB44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0F4627B4"/>
    <w:multiLevelType w:val="hybridMultilevel"/>
    <w:tmpl w:val="DAF8168A"/>
    <w:lvl w:ilvl="0" w:tplc="CD6C36EA">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17F12"/>
    <w:multiLevelType w:val="hybridMultilevel"/>
    <w:tmpl w:val="D2C44A6A"/>
    <w:lvl w:ilvl="0" w:tplc="47EC8D14">
      <w:start w:val="1"/>
      <w:numFmt w:val="decimal"/>
      <w:pStyle w:val="ListNumber"/>
      <w:lvlText w:val="%1."/>
      <w:lvlJc w:val="left"/>
      <w:pPr>
        <w:tabs>
          <w:tab w:val="num" w:pos="357"/>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700D22"/>
    <w:multiLevelType w:val="hybridMultilevel"/>
    <w:tmpl w:val="86FE4B94"/>
    <w:lvl w:ilvl="0" w:tplc="53463428">
      <w:start w:val="1"/>
      <w:numFmt w:val="bullet"/>
      <w:lvlText w:val=""/>
      <w:lvlJc w:val="left"/>
      <w:pPr>
        <w:tabs>
          <w:tab w:val="num" w:pos="1571"/>
        </w:tabs>
        <w:ind w:left="1571" w:hanging="358"/>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10BC7"/>
    <w:multiLevelType w:val="hybridMultilevel"/>
    <w:tmpl w:val="BD4EE724"/>
    <w:lvl w:ilvl="0" w:tplc="E4B69E42">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112CCB"/>
    <w:multiLevelType w:val="multilevel"/>
    <w:tmpl w:val="62942E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A236576"/>
    <w:multiLevelType w:val="hybridMultilevel"/>
    <w:tmpl w:val="52120DF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1BEE37A2"/>
    <w:multiLevelType w:val="hybridMultilevel"/>
    <w:tmpl w:val="7AFC84EE"/>
    <w:lvl w:ilvl="0" w:tplc="4498DEF6">
      <w:start w:val="1"/>
      <w:numFmt w:val="lowerRoman"/>
      <w:lvlText w:val="%1."/>
      <w:lvlJc w:val="righ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3" w15:restartNumberingAfterBreak="0">
    <w:nsid w:val="202305A7"/>
    <w:multiLevelType w:val="hybridMultilevel"/>
    <w:tmpl w:val="1526BF6E"/>
    <w:lvl w:ilvl="0" w:tplc="FC42FC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540159"/>
    <w:multiLevelType w:val="hybridMultilevel"/>
    <w:tmpl w:val="E3B435A4"/>
    <w:lvl w:ilvl="0" w:tplc="A9F8267C">
      <w:start w:val="1"/>
      <w:numFmt w:val="lowerLetter"/>
      <w:pStyle w:val="ListNumber2"/>
      <w:lvlText w:val="%1)"/>
      <w:lvlJc w:val="left"/>
      <w:pPr>
        <w:tabs>
          <w:tab w:val="num" w:pos="714"/>
        </w:tabs>
        <w:ind w:left="7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C26238"/>
    <w:multiLevelType w:val="hybridMultilevel"/>
    <w:tmpl w:val="151C395E"/>
    <w:lvl w:ilvl="0" w:tplc="2AFEAAA2">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5F149E"/>
    <w:multiLevelType w:val="hybridMultilevel"/>
    <w:tmpl w:val="3EA00896"/>
    <w:lvl w:ilvl="0" w:tplc="D7EC3B9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837EF5"/>
    <w:multiLevelType w:val="hybridMultilevel"/>
    <w:tmpl w:val="B7B64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BB30FC"/>
    <w:multiLevelType w:val="hybridMultilevel"/>
    <w:tmpl w:val="4B5C8CCA"/>
    <w:lvl w:ilvl="0" w:tplc="CAA6BBB0">
      <w:start w:val="1"/>
      <w:numFmt w:val="bullet"/>
      <w:lvlText w:val="o"/>
      <w:lvlJc w:val="left"/>
      <w:pPr>
        <w:tabs>
          <w:tab w:val="num" w:pos="1145"/>
        </w:tabs>
        <w:ind w:left="1145"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D11BC0"/>
    <w:multiLevelType w:val="hybridMultilevel"/>
    <w:tmpl w:val="26F8645C"/>
    <w:lvl w:ilvl="0" w:tplc="595C88DC">
      <w:start w:val="1"/>
      <w:numFmt w:val="bullet"/>
      <w:lvlText w:val="o"/>
      <w:lvlJc w:val="left"/>
      <w:pPr>
        <w:ind w:left="1145" w:hanging="360"/>
      </w:pPr>
      <w:rPr>
        <w:rFonts w:ascii="Courier New" w:hAnsi="Courier New" w:cs="Courier New" w:hint="default"/>
      </w:rPr>
    </w:lvl>
    <w:lvl w:ilvl="1" w:tplc="0C090019" w:tentative="1">
      <w:start w:val="1"/>
      <w:numFmt w:val="bullet"/>
      <w:lvlText w:val="o"/>
      <w:lvlJc w:val="left"/>
      <w:pPr>
        <w:ind w:left="1865" w:hanging="360"/>
      </w:pPr>
      <w:rPr>
        <w:rFonts w:ascii="Courier New" w:hAnsi="Courier New" w:cs="Courier New" w:hint="default"/>
      </w:rPr>
    </w:lvl>
    <w:lvl w:ilvl="2" w:tplc="0C09001B" w:tentative="1">
      <w:start w:val="1"/>
      <w:numFmt w:val="bullet"/>
      <w:lvlText w:val=""/>
      <w:lvlJc w:val="left"/>
      <w:pPr>
        <w:ind w:left="2585" w:hanging="360"/>
      </w:pPr>
      <w:rPr>
        <w:rFonts w:ascii="Wingdings" w:hAnsi="Wingdings" w:hint="default"/>
      </w:rPr>
    </w:lvl>
    <w:lvl w:ilvl="3" w:tplc="0C09000F" w:tentative="1">
      <w:start w:val="1"/>
      <w:numFmt w:val="bullet"/>
      <w:lvlText w:val=""/>
      <w:lvlJc w:val="left"/>
      <w:pPr>
        <w:ind w:left="3305" w:hanging="360"/>
      </w:pPr>
      <w:rPr>
        <w:rFonts w:ascii="Symbol" w:hAnsi="Symbol" w:hint="default"/>
      </w:rPr>
    </w:lvl>
    <w:lvl w:ilvl="4" w:tplc="0C090019" w:tentative="1">
      <w:start w:val="1"/>
      <w:numFmt w:val="bullet"/>
      <w:lvlText w:val="o"/>
      <w:lvlJc w:val="left"/>
      <w:pPr>
        <w:ind w:left="4025" w:hanging="360"/>
      </w:pPr>
      <w:rPr>
        <w:rFonts w:ascii="Courier New" w:hAnsi="Courier New" w:cs="Courier New" w:hint="default"/>
      </w:rPr>
    </w:lvl>
    <w:lvl w:ilvl="5" w:tplc="0C09001B" w:tentative="1">
      <w:start w:val="1"/>
      <w:numFmt w:val="bullet"/>
      <w:lvlText w:val=""/>
      <w:lvlJc w:val="left"/>
      <w:pPr>
        <w:ind w:left="4745" w:hanging="360"/>
      </w:pPr>
      <w:rPr>
        <w:rFonts w:ascii="Wingdings" w:hAnsi="Wingdings" w:hint="default"/>
      </w:rPr>
    </w:lvl>
    <w:lvl w:ilvl="6" w:tplc="0C09000F" w:tentative="1">
      <w:start w:val="1"/>
      <w:numFmt w:val="bullet"/>
      <w:lvlText w:val=""/>
      <w:lvlJc w:val="left"/>
      <w:pPr>
        <w:ind w:left="5465" w:hanging="360"/>
      </w:pPr>
      <w:rPr>
        <w:rFonts w:ascii="Symbol" w:hAnsi="Symbol" w:hint="default"/>
      </w:rPr>
    </w:lvl>
    <w:lvl w:ilvl="7" w:tplc="0C090019" w:tentative="1">
      <w:start w:val="1"/>
      <w:numFmt w:val="bullet"/>
      <w:lvlText w:val="o"/>
      <w:lvlJc w:val="left"/>
      <w:pPr>
        <w:ind w:left="6185" w:hanging="360"/>
      </w:pPr>
      <w:rPr>
        <w:rFonts w:ascii="Courier New" w:hAnsi="Courier New" w:cs="Courier New" w:hint="default"/>
      </w:rPr>
    </w:lvl>
    <w:lvl w:ilvl="8" w:tplc="0C09001B" w:tentative="1">
      <w:start w:val="1"/>
      <w:numFmt w:val="bullet"/>
      <w:lvlText w:val=""/>
      <w:lvlJc w:val="left"/>
      <w:pPr>
        <w:ind w:left="6905" w:hanging="360"/>
      </w:pPr>
      <w:rPr>
        <w:rFonts w:ascii="Wingdings" w:hAnsi="Wingdings" w:hint="default"/>
      </w:rPr>
    </w:lvl>
  </w:abstractNum>
  <w:abstractNum w:abstractNumId="20" w15:restartNumberingAfterBreak="0">
    <w:nsid w:val="36E35A29"/>
    <w:multiLevelType w:val="hybridMultilevel"/>
    <w:tmpl w:val="56546F7C"/>
    <w:lvl w:ilvl="0" w:tplc="87B2439E">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C7444B"/>
    <w:multiLevelType w:val="hybridMultilevel"/>
    <w:tmpl w:val="3CC2348C"/>
    <w:lvl w:ilvl="0" w:tplc="3C362C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B9124E"/>
    <w:multiLevelType w:val="hybridMultilevel"/>
    <w:tmpl w:val="F7AE585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3" w15:restartNumberingAfterBreak="0">
    <w:nsid w:val="3E685199"/>
    <w:multiLevelType w:val="hybridMultilevel"/>
    <w:tmpl w:val="AAAE8904"/>
    <w:lvl w:ilvl="0" w:tplc="7876BA1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BE4F2B"/>
    <w:multiLevelType w:val="hybridMultilevel"/>
    <w:tmpl w:val="F4B45E5E"/>
    <w:lvl w:ilvl="0" w:tplc="4A40D102">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8F6756"/>
    <w:multiLevelType w:val="hybridMultilevel"/>
    <w:tmpl w:val="4C1EA0E8"/>
    <w:lvl w:ilvl="0" w:tplc="827EA1B6">
      <w:start w:val="1"/>
      <w:numFmt w:val="decimal"/>
      <w:lvlText w:val="%1."/>
      <w:lvlJc w:val="left"/>
      <w:pPr>
        <w:tabs>
          <w:tab w:val="num" w:pos="720"/>
        </w:tabs>
        <w:ind w:left="720" w:hanging="360"/>
      </w:pPr>
    </w:lvl>
    <w:lvl w:ilvl="1" w:tplc="4BF0AA1C" w:tentative="1">
      <w:start w:val="1"/>
      <w:numFmt w:val="decimal"/>
      <w:lvlText w:val="%2."/>
      <w:lvlJc w:val="left"/>
      <w:pPr>
        <w:tabs>
          <w:tab w:val="num" w:pos="1440"/>
        </w:tabs>
        <w:ind w:left="1440" w:hanging="360"/>
      </w:pPr>
    </w:lvl>
    <w:lvl w:ilvl="2" w:tplc="77A8DD1E" w:tentative="1">
      <w:start w:val="1"/>
      <w:numFmt w:val="decimal"/>
      <w:lvlText w:val="%3."/>
      <w:lvlJc w:val="left"/>
      <w:pPr>
        <w:tabs>
          <w:tab w:val="num" w:pos="2160"/>
        </w:tabs>
        <w:ind w:left="2160" w:hanging="360"/>
      </w:pPr>
    </w:lvl>
    <w:lvl w:ilvl="3" w:tplc="77C43BA8" w:tentative="1">
      <w:start w:val="1"/>
      <w:numFmt w:val="decimal"/>
      <w:lvlText w:val="%4."/>
      <w:lvlJc w:val="left"/>
      <w:pPr>
        <w:tabs>
          <w:tab w:val="num" w:pos="2880"/>
        </w:tabs>
        <w:ind w:left="2880" w:hanging="360"/>
      </w:pPr>
    </w:lvl>
    <w:lvl w:ilvl="4" w:tplc="1BD08180" w:tentative="1">
      <w:start w:val="1"/>
      <w:numFmt w:val="decimal"/>
      <w:lvlText w:val="%5."/>
      <w:lvlJc w:val="left"/>
      <w:pPr>
        <w:tabs>
          <w:tab w:val="num" w:pos="3600"/>
        </w:tabs>
        <w:ind w:left="3600" w:hanging="360"/>
      </w:pPr>
    </w:lvl>
    <w:lvl w:ilvl="5" w:tplc="6C60FD68" w:tentative="1">
      <w:start w:val="1"/>
      <w:numFmt w:val="decimal"/>
      <w:lvlText w:val="%6."/>
      <w:lvlJc w:val="left"/>
      <w:pPr>
        <w:tabs>
          <w:tab w:val="num" w:pos="4320"/>
        </w:tabs>
        <w:ind w:left="4320" w:hanging="360"/>
      </w:pPr>
    </w:lvl>
    <w:lvl w:ilvl="6" w:tplc="15141D2E" w:tentative="1">
      <w:start w:val="1"/>
      <w:numFmt w:val="decimal"/>
      <w:lvlText w:val="%7."/>
      <w:lvlJc w:val="left"/>
      <w:pPr>
        <w:tabs>
          <w:tab w:val="num" w:pos="5040"/>
        </w:tabs>
        <w:ind w:left="5040" w:hanging="360"/>
      </w:pPr>
    </w:lvl>
    <w:lvl w:ilvl="7" w:tplc="EDD822A0" w:tentative="1">
      <w:start w:val="1"/>
      <w:numFmt w:val="decimal"/>
      <w:lvlText w:val="%8."/>
      <w:lvlJc w:val="left"/>
      <w:pPr>
        <w:tabs>
          <w:tab w:val="num" w:pos="5760"/>
        </w:tabs>
        <w:ind w:left="5760" w:hanging="360"/>
      </w:pPr>
    </w:lvl>
    <w:lvl w:ilvl="8" w:tplc="DC8A1718" w:tentative="1">
      <w:start w:val="1"/>
      <w:numFmt w:val="decimal"/>
      <w:lvlText w:val="%9."/>
      <w:lvlJc w:val="left"/>
      <w:pPr>
        <w:tabs>
          <w:tab w:val="num" w:pos="6480"/>
        </w:tabs>
        <w:ind w:left="6480" w:hanging="360"/>
      </w:pPr>
    </w:lvl>
  </w:abstractNum>
  <w:abstractNum w:abstractNumId="26" w15:restartNumberingAfterBreak="0">
    <w:nsid w:val="4F930481"/>
    <w:multiLevelType w:val="hybridMultilevel"/>
    <w:tmpl w:val="FC60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76784C"/>
    <w:multiLevelType w:val="multilevel"/>
    <w:tmpl w:val="82E29C0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0EB1F89"/>
    <w:multiLevelType w:val="hybridMultilevel"/>
    <w:tmpl w:val="EBFE3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7E1786"/>
    <w:multiLevelType w:val="hybridMultilevel"/>
    <w:tmpl w:val="D3723CD2"/>
    <w:lvl w:ilvl="0" w:tplc="B46E587A">
      <w:start w:val="1"/>
      <w:numFmt w:val="decimal"/>
      <w:pStyle w:val="AttachmentListNumber"/>
      <w:lvlText w:val="%1."/>
      <w:lvlJc w:val="left"/>
      <w:pPr>
        <w:ind w:left="720" w:hanging="360"/>
      </w:pPr>
    </w:lvl>
    <w:lvl w:ilvl="1" w:tplc="9E00D0C8" w:tentative="1">
      <w:start w:val="1"/>
      <w:numFmt w:val="lowerLetter"/>
      <w:lvlText w:val="%2."/>
      <w:lvlJc w:val="left"/>
      <w:pPr>
        <w:ind w:left="1440" w:hanging="360"/>
      </w:pPr>
    </w:lvl>
    <w:lvl w:ilvl="2" w:tplc="1D7CA82E" w:tentative="1">
      <w:start w:val="1"/>
      <w:numFmt w:val="lowerRoman"/>
      <w:lvlText w:val="%3."/>
      <w:lvlJc w:val="right"/>
      <w:pPr>
        <w:ind w:left="2160" w:hanging="180"/>
      </w:pPr>
    </w:lvl>
    <w:lvl w:ilvl="3" w:tplc="A1B87BD4" w:tentative="1">
      <w:start w:val="1"/>
      <w:numFmt w:val="decimal"/>
      <w:lvlText w:val="%4."/>
      <w:lvlJc w:val="left"/>
      <w:pPr>
        <w:ind w:left="2880" w:hanging="360"/>
      </w:pPr>
    </w:lvl>
    <w:lvl w:ilvl="4" w:tplc="E068AE70" w:tentative="1">
      <w:start w:val="1"/>
      <w:numFmt w:val="lowerLetter"/>
      <w:lvlText w:val="%5."/>
      <w:lvlJc w:val="left"/>
      <w:pPr>
        <w:ind w:left="3600" w:hanging="360"/>
      </w:pPr>
    </w:lvl>
    <w:lvl w:ilvl="5" w:tplc="76B8088C" w:tentative="1">
      <w:start w:val="1"/>
      <w:numFmt w:val="lowerRoman"/>
      <w:lvlText w:val="%6."/>
      <w:lvlJc w:val="right"/>
      <w:pPr>
        <w:ind w:left="4320" w:hanging="180"/>
      </w:pPr>
    </w:lvl>
    <w:lvl w:ilvl="6" w:tplc="3EC430A0" w:tentative="1">
      <w:start w:val="1"/>
      <w:numFmt w:val="decimal"/>
      <w:lvlText w:val="%7."/>
      <w:lvlJc w:val="left"/>
      <w:pPr>
        <w:ind w:left="5040" w:hanging="360"/>
      </w:pPr>
    </w:lvl>
    <w:lvl w:ilvl="7" w:tplc="C9CAF846" w:tentative="1">
      <w:start w:val="1"/>
      <w:numFmt w:val="lowerLetter"/>
      <w:lvlText w:val="%8."/>
      <w:lvlJc w:val="left"/>
      <w:pPr>
        <w:ind w:left="5760" w:hanging="360"/>
      </w:pPr>
    </w:lvl>
    <w:lvl w:ilvl="8" w:tplc="5B38D51E" w:tentative="1">
      <w:start w:val="1"/>
      <w:numFmt w:val="lowerRoman"/>
      <w:lvlText w:val="%9."/>
      <w:lvlJc w:val="right"/>
      <w:pPr>
        <w:ind w:left="6480" w:hanging="180"/>
      </w:pPr>
    </w:lvl>
  </w:abstractNum>
  <w:abstractNum w:abstractNumId="30" w15:restartNumberingAfterBreak="0">
    <w:nsid w:val="6019574C"/>
    <w:multiLevelType w:val="hybridMultilevel"/>
    <w:tmpl w:val="A1B8AD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FB6707"/>
    <w:multiLevelType w:val="hybridMultilevel"/>
    <w:tmpl w:val="82821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951E39"/>
    <w:multiLevelType w:val="hybridMultilevel"/>
    <w:tmpl w:val="920A0AEA"/>
    <w:lvl w:ilvl="0" w:tplc="4948CF64">
      <w:start w:val="1"/>
      <w:numFmt w:val="decimal"/>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4A5BDC"/>
    <w:multiLevelType w:val="hybridMultilevel"/>
    <w:tmpl w:val="8070BF26"/>
    <w:lvl w:ilvl="0" w:tplc="9464672E">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9476B8"/>
    <w:multiLevelType w:val="hybridMultilevel"/>
    <w:tmpl w:val="7D884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A10308"/>
    <w:multiLevelType w:val="hybridMultilevel"/>
    <w:tmpl w:val="2FA09254"/>
    <w:lvl w:ilvl="0" w:tplc="D6AABEC6">
      <w:start w:val="1"/>
      <w:numFmt w:val="decimal"/>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352522"/>
    <w:multiLevelType w:val="hybridMultilevel"/>
    <w:tmpl w:val="050E575C"/>
    <w:lvl w:ilvl="0" w:tplc="9A7E56CC">
      <w:start w:val="1"/>
      <w:numFmt w:val="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2"/>
  </w:num>
  <w:num w:numId="4">
    <w:abstractNumId w:val="35"/>
  </w:num>
  <w:num w:numId="5">
    <w:abstractNumId w:val="21"/>
  </w:num>
  <w:num w:numId="6">
    <w:abstractNumId w:val="19"/>
  </w:num>
  <w:num w:numId="7">
    <w:abstractNumId w:val="4"/>
  </w:num>
  <w:num w:numId="8">
    <w:abstractNumId w:val="23"/>
  </w:num>
  <w:num w:numId="9">
    <w:abstractNumId w:val="10"/>
  </w:num>
  <w:num w:numId="10">
    <w:abstractNumId w:val="24"/>
  </w:num>
  <w:num w:numId="11">
    <w:abstractNumId w:val="32"/>
  </w:num>
  <w:num w:numId="12">
    <w:abstractNumId w:val="27"/>
  </w:num>
  <w:num w:numId="13">
    <w:abstractNumId w:val="2"/>
  </w:num>
  <w:num w:numId="14">
    <w:abstractNumId w:val="1"/>
  </w:num>
  <w:num w:numId="15">
    <w:abstractNumId w:val="0"/>
  </w:num>
  <w:num w:numId="16">
    <w:abstractNumId w:val="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9"/>
    <w:lvlOverride w:ilvl="0">
      <w:startOverride w:val="1"/>
    </w:lvlOverride>
  </w:num>
  <w:num w:numId="20">
    <w:abstractNumId w:val="29"/>
    <w:lvlOverride w:ilvl="0">
      <w:startOverride w:val="1"/>
    </w:lvlOverride>
  </w:num>
  <w:num w:numId="21">
    <w:abstractNumId w:val="29"/>
    <w:lvlOverride w:ilvl="0">
      <w:startOverride w:val="1"/>
    </w:lvlOverride>
  </w:num>
  <w:num w:numId="22">
    <w:abstractNumId w:val="29"/>
    <w:lvlOverride w:ilvl="0">
      <w:startOverride w:val="1"/>
    </w:lvlOverride>
  </w:num>
  <w:num w:numId="23">
    <w:abstractNumId w:val="29"/>
    <w:lvlOverride w:ilvl="0">
      <w:startOverride w:val="1"/>
    </w:lvlOverride>
  </w:num>
  <w:num w:numId="24">
    <w:abstractNumId w:val="5"/>
  </w:num>
  <w:num w:numId="25">
    <w:abstractNumId w:val="13"/>
  </w:num>
  <w:num w:numId="26">
    <w:abstractNumId w:val="36"/>
  </w:num>
  <w:num w:numId="27">
    <w:abstractNumId w:val="16"/>
  </w:num>
  <w:num w:numId="28">
    <w:abstractNumId w:val="18"/>
  </w:num>
  <w:num w:numId="29">
    <w:abstractNumId w:val="30"/>
  </w:num>
  <w:num w:numId="30">
    <w:abstractNumId w:val="8"/>
  </w:num>
  <w:num w:numId="31">
    <w:abstractNumId w:val="7"/>
  </w:num>
  <w:num w:numId="32">
    <w:abstractNumId w:val="14"/>
  </w:num>
  <w:num w:numId="33">
    <w:abstractNumId w:val="9"/>
  </w:num>
  <w:num w:numId="34">
    <w:abstractNumId w:val="14"/>
    <w:lvlOverride w:ilvl="0">
      <w:startOverride w:val="1"/>
    </w:lvlOverride>
  </w:num>
  <w:num w:numId="35">
    <w:abstractNumId w:val="7"/>
    <w:lvlOverride w:ilvl="0">
      <w:startOverride w:val="1"/>
    </w:lvlOverride>
  </w:num>
  <w:num w:numId="36">
    <w:abstractNumId w:val="9"/>
    <w:lvlOverride w:ilvl="0">
      <w:startOverride w:val="1"/>
    </w:lvlOverride>
  </w:num>
  <w:num w:numId="37">
    <w:abstractNumId w:val="6"/>
  </w:num>
  <w:num w:numId="38">
    <w:abstractNumId w:val="20"/>
  </w:num>
  <w:num w:numId="39">
    <w:abstractNumId w:val="33"/>
  </w:num>
  <w:num w:numId="40">
    <w:abstractNumId w:val="31"/>
  </w:num>
  <w:num w:numId="41">
    <w:abstractNumId w:val="34"/>
  </w:num>
  <w:num w:numId="42">
    <w:abstractNumId w:val="11"/>
  </w:num>
  <w:num w:numId="43">
    <w:abstractNumId w:val="22"/>
  </w:num>
  <w:num w:numId="44">
    <w:abstractNumId w:val="28"/>
  </w:num>
  <w:num w:numId="45">
    <w:abstractNumId w:val="17"/>
  </w:num>
  <w:num w:numId="46">
    <w:abstractNumId w:val="25"/>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rawingGridHorizontalSpacing w:val="110"/>
  <w:displayHorizontalDrawingGridEvery w:val="0"/>
  <w:displayVerticalDrawingGridEvery w:val="0"/>
  <w:noPunctuationKerning/>
  <w:characterSpacingControl w:val="doNotCompress"/>
  <w:hdrShapeDefaults>
    <o:shapedefaults v:ext="edit" spidmax="14337">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_x000a_Ŭ"/>
  </w:docVars>
  <w:rsids>
    <w:rsidRoot w:val="00072A93"/>
    <w:rsid w:val="00012B54"/>
    <w:rsid w:val="000247DC"/>
    <w:rsid w:val="00032B45"/>
    <w:rsid w:val="00036320"/>
    <w:rsid w:val="000479E4"/>
    <w:rsid w:val="00060480"/>
    <w:rsid w:val="0006182A"/>
    <w:rsid w:val="00072A93"/>
    <w:rsid w:val="00092C0F"/>
    <w:rsid w:val="000B169A"/>
    <w:rsid w:val="000B6C1F"/>
    <w:rsid w:val="000D225B"/>
    <w:rsid w:val="000E739B"/>
    <w:rsid w:val="000F3C8D"/>
    <w:rsid w:val="000F4190"/>
    <w:rsid w:val="00104D12"/>
    <w:rsid w:val="001119DB"/>
    <w:rsid w:val="00113C1F"/>
    <w:rsid w:val="0011405A"/>
    <w:rsid w:val="00116F30"/>
    <w:rsid w:val="001176D2"/>
    <w:rsid w:val="00123C6C"/>
    <w:rsid w:val="001246BB"/>
    <w:rsid w:val="001331A0"/>
    <w:rsid w:val="00150AC6"/>
    <w:rsid w:val="00155375"/>
    <w:rsid w:val="001608C1"/>
    <w:rsid w:val="00163609"/>
    <w:rsid w:val="00172372"/>
    <w:rsid w:val="00173CC0"/>
    <w:rsid w:val="00174CEA"/>
    <w:rsid w:val="00197E8E"/>
    <w:rsid w:val="001A1010"/>
    <w:rsid w:val="001A15FD"/>
    <w:rsid w:val="001A7C7A"/>
    <w:rsid w:val="001B7ECD"/>
    <w:rsid w:val="001C1BE0"/>
    <w:rsid w:val="001D79D2"/>
    <w:rsid w:val="001E3981"/>
    <w:rsid w:val="001E6454"/>
    <w:rsid w:val="001F12E3"/>
    <w:rsid w:val="00201677"/>
    <w:rsid w:val="0020647E"/>
    <w:rsid w:val="00216CD6"/>
    <w:rsid w:val="00226D36"/>
    <w:rsid w:val="00235830"/>
    <w:rsid w:val="0024728C"/>
    <w:rsid w:val="00251071"/>
    <w:rsid w:val="002759FB"/>
    <w:rsid w:val="002936A0"/>
    <w:rsid w:val="002A11BA"/>
    <w:rsid w:val="002B3576"/>
    <w:rsid w:val="002C5673"/>
    <w:rsid w:val="002C6726"/>
    <w:rsid w:val="002D1009"/>
    <w:rsid w:val="002D12F3"/>
    <w:rsid w:val="002D5680"/>
    <w:rsid w:val="002D6C90"/>
    <w:rsid w:val="002F384A"/>
    <w:rsid w:val="002F7FED"/>
    <w:rsid w:val="00310250"/>
    <w:rsid w:val="003173B8"/>
    <w:rsid w:val="00317A98"/>
    <w:rsid w:val="0033353E"/>
    <w:rsid w:val="00342E22"/>
    <w:rsid w:val="00346601"/>
    <w:rsid w:val="003470CB"/>
    <w:rsid w:val="003553AF"/>
    <w:rsid w:val="00361FF4"/>
    <w:rsid w:val="00370057"/>
    <w:rsid w:val="0038482A"/>
    <w:rsid w:val="003903ED"/>
    <w:rsid w:val="003A1B54"/>
    <w:rsid w:val="003A2EF1"/>
    <w:rsid w:val="003A6B3A"/>
    <w:rsid w:val="003A7E9C"/>
    <w:rsid w:val="003C3A88"/>
    <w:rsid w:val="003E6B63"/>
    <w:rsid w:val="003F7CE0"/>
    <w:rsid w:val="00411DF8"/>
    <w:rsid w:val="00422128"/>
    <w:rsid w:val="00446AC2"/>
    <w:rsid w:val="004546CB"/>
    <w:rsid w:val="00467DBC"/>
    <w:rsid w:val="00470499"/>
    <w:rsid w:val="004725A5"/>
    <w:rsid w:val="004A1D6C"/>
    <w:rsid w:val="004A24C6"/>
    <w:rsid w:val="004C79F9"/>
    <w:rsid w:val="004D154B"/>
    <w:rsid w:val="004D7084"/>
    <w:rsid w:val="004F0251"/>
    <w:rsid w:val="004F05D3"/>
    <w:rsid w:val="004F2DB9"/>
    <w:rsid w:val="00517250"/>
    <w:rsid w:val="00530ACF"/>
    <w:rsid w:val="00553BD0"/>
    <w:rsid w:val="005544C5"/>
    <w:rsid w:val="005603C3"/>
    <w:rsid w:val="00570485"/>
    <w:rsid w:val="005715FA"/>
    <w:rsid w:val="0057302C"/>
    <w:rsid w:val="005811C0"/>
    <w:rsid w:val="005A5A98"/>
    <w:rsid w:val="005D7C6E"/>
    <w:rsid w:val="005E37B6"/>
    <w:rsid w:val="005E4A58"/>
    <w:rsid w:val="005E60BE"/>
    <w:rsid w:val="005E6A23"/>
    <w:rsid w:val="005F49AA"/>
    <w:rsid w:val="00617D69"/>
    <w:rsid w:val="00621DA0"/>
    <w:rsid w:val="00623B6D"/>
    <w:rsid w:val="00677EEC"/>
    <w:rsid w:val="006B3460"/>
    <w:rsid w:val="006C7622"/>
    <w:rsid w:val="006D1675"/>
    <w:rsid w:val="006D62E6"/>
    <w:rsid w:val="006E5404"/>
    <w:rsid w:val="006E79D2"/>
    <w:rsid w:val="006F1571"/>
    <w:rsid w:val="006F296D"/>
    <w:rsid w:val="006F4A60"/>
    <w:rsid w:val="006F6443"/>
    <w:rsid w:val="00716B97"/>
    <w:rsid w:val="00716E23"/>
    <w:rsid w:val="007225AE"/>
    <w:rsid w:val="00722FCD"/>
    <w:rsid w:val="0073096D"/>
    <w:rsid w:val="0073776E"/>
    <w:rsid w:val="00742C32"/>
    <w:rsid w:val="00745996"/>
    <w:rsid w:val="00763D25"/>
    <w:rsid w:val="00767C2D"/>
    <w:rsid w:val="00783EA1"/>
    <w:rsid w:val="00785134"/>
    <w:rsid w:val="00794218"/>
    <w:rsid w:val="007A2720"/>
    <w:rsid w:val="007A2DC3"/>
    <w:rsid w:val="007A3EF8"/>
    <w:rsid w:val="007A46A0"/>
    <w:rsid w:val="007A6FCD"/>
    <w:rsid w:val="007F0B03"/>
    <w:rsid w:val="007F309E"/>
    <w:rsid w:val="00820982"/>
    <w:rsid w:val="00821B7A"/>
    <w:rsid w:val="0082293E"/>
    <w:rsid w:val="00824EE9"/>
    <w:rsid w:val="00831496"/>
    <w:rsid w:val="008366AE"/>
    <w:rsid w:val="00855124"/>
    <w:rsid w:val="00856E1B"/>
    <w:rsid w:val="0086000B"/>
    <w:rsid w:val="00874B24"/>
    <w:rsid w:val="008874E1"/>
    <w:rsid w:val="00893720"/>
    <w:rsid w:val="008B46F3"/>
    <w:rsid w:val="008B5E06"/>
    <w:rsid w:val="008C644F"/>
    <w:rsid w:val="008F0BE5"/>
    <w:rsid w:val="008F47E1"/>
    <w:rsid w:val="008F73C4"/>
    <w:rsid w:val="009073E7"/>
    <w:rsid w:val="00911ED3"/>
    <w:rsid w:val="0091316C"/>
    <w:rsid w:val="009149D2"/>
    <w:rsid w:val="0092332A"/>
    <w:rsid w:val="00924604"/>
    <w:rsid w:val="0092533C"/>
    <w:rsid w:val="009263B1"/>
    <w:rsid w:val="00927CDA"/>
    <w:rsid w:val="00930C9E"/>
    <w:rsid w:val="0093559C"/>
    <w:rsid w:val="00937AC6"/>
    <w:rsid w:val="00937F3F"/>
    <w:rsid w:val="0096190B"/>
    <w:rsid w:val="00965A58"/>
    <w:rsid w:val="009724AD"/>
    <w:rsid w:val="0098006F"/>
    <w:rsid w:val="00981757"/>
    <w:rsid w:val="00991E73"/>
    <w:rsid w:val="00994304"/>
    <w:rsid w:val="009A2CB2"/>
    <w:rsid w:val="009A3139"/>
    <w:rsid w:val="009A4CCD"/>
    <w:rsid w:val="009B10FE"/>
    <w:rsid w:val="009B4C15"/>
    <w:rsid w:val="009C1A10"/>
    <w:rsid w:val="009E08E8"/>
    <w:rsid w:val="009E5101"/>
    <w:rsid w:val="009E5AB9"/>
    <w:rsid w:val="009F361F"/>
    <w:rsid w:val="00A04D2B"/>
    <w:rsid w:val="00A11FCE"/>
    <w:rsid w:val="00A225CD"/>
    <w:rsid w:val="00A276D8"/>
    <w:rsid w:val="00A53E40"/>
    <w:rsid w:val="00A5434F"/>
    <w:rsid w:val="00A54EC1"/>
    <w:rsid w:val="00A61FF6"/>
    <w:rsid w:val="00A6213B"/>
    <w:rsid w:val="00A6232B"/>
    <w:rsid w:val="00A807C6"/>
    <w:rsid w:val="00A81778"/>
    <w:rsid w:val="00A81AD5"/>
    <w:rsid w:val="00AA05AE"/>
    <w:rsid w:val="00AB3278"/>
    <w:rsid w:val="00AB338E"/>
    <w:rsid w:val="00AB6B48"/>
    <w:rsid w:val="00AC0679"/>
    <w:rsid w:val="00AC6E70"/>
    <w:rsid w:val="00AD1E0E"/>
    <w:rsid w:val="00AD3E6E"/>
    <w:rsid w:val="00AF1224"/>
    <w:rsid w:val="00B030D5"/>
    <w:rsid w:val="00B125D2"/>
    <w:rsid w:val="00B17F9D"/>
    <w:rsid w:val="00B23612"/>
    <w:rsid w:val="00B249AA"/>
    <w:rsid w:val="00B42E67"/>
    <w:rsid w:val="00B52E30"/>
    <w:rsid w:val="00B53290"/>
    <w:rsid w:val="00B53CED"/>
    <w:rsid w:val="00B6038D"/>
    <w:rsid w:val="00B60F1E"/>
    <w:rsid w:val="00B7299D"/>
    <w:rsid w:val="00B766FB"/>
    <w:rsid w:val="00B93675"/>
    <w:rsid w:val="00B965A8"/>
    <w:rsid w:val="00BA7385"/>
    <w:rsid w:val="00BB5C1D"/>
    <w:rsid w:val="00BC4C28"/>
    <w:rsid w:val="00BE05CD"/>
    <w:rsid w:val="00BF26A4"/>
    <w:rsid w:val="00BF310C"/>
    <w:rsid w:val="00BF6C56"/>
    <w:rsid w:val="00C04A91"/>
    <w:rsid w:val="00C05DC5"/>
    <w:rsid w:val="00C067F7"/>
    <w:rsid w:val="00C16824"/>
    <w:rsid w:val="00C378FA"/>
    <w:rsid w:val="00C412FF"/>
    <w:rsid w:val="00C4538A"/>
    <w:rsid w:val="00C47AE7"/>
    <w:rsid w:val="00C51550"/>
    <w:rsid w:val="00C62C4D"/>
    <w:rsid w:val="00C64BE9"/>
    <w:rsid w:val="00C67D21"/>
    <w:rsid w:val="00C914E7"/>
    <w:rsid w:val="00C94C76"/>
    <w:rsid w:val="00CA2B2D"/>
    <w:rsid w:val="00CA51C0"/>
    <w:rsid w:val="00CB3186"/>
    <w:rsid w:val="00CC1B78"/>
    <w:rsid w:val="00CC4A70"/>
    <w:rsid w:val="00CC4CF3"/>
    <w:rsid w:val="00CD73F8"/>
    <w:rsid w:val="00CE0305"/>
    <w:rsid w:val="00CF2090"/>
    <w:rsid w:val="00CF6D22"/>
    <w:rsid w:val="00D04008"/>
    <w:rsid w:val="00D04E76"/>
    <w:rsid w:val="00D13F26"/>
    <w:rsid w:val="00D170B6"/>
    <w:rsid w:val="00D31600"/>
    <w:rsid w:val="00D34746"/>
    <w:rsid w:val="00D40871"/>
    <w:rsid w:val="00D43181"/>
    <w:rsid w:val="00D513D1"/>
    <w:rsid w:val="00D55E46"/>
    <w:rsid w:val="00D61CC2"/>
    <w:rsid w:val="00D63382"/>
    <w:rsid w:val="00D72B8A"/>
    <w:rsid w:val="00D775AE"/>
    <w:rsid w:val="00D9117D"/>
    <w:rsid w:val="00D94405"/>
    <w:rsid w:val="00DB48C0"/>
    <w:rsid w:val="00DB7257"/>
    <w:rsid w:val="00DD4BE5"/>
    <w:rsid w:val="00DE25F0"/>
    <w:rsid w:val="00E03C63"/>
    <w:rsid w:val="00E0493C"/>
    <w:rsid w:val="00E348A7"/>
    <w:rsid w:val="00E34DEA"/>
    <w:rsid w:val="00E4112B"/>
    <w:rsid w:val="00E44E62"/>
    <w:rsid w:val="00E45A97"/>
    <w:rsid w:val="00E45EC6"/>
    <w:rsid w:val="00E61E5D"/>
    <w:rsid w:val="00E702BA"/>
    <w:rsid w:val="00E7094E"/>
    <w:rsid w:val="00E73DD9"/>
    <w:rsid w:val="00E74068"/>
    <w:rsid w:val="00E75C98"/>
    <w:rsid w:val="00EA1978"/>
    <w:rsid w:val="00EB3A62"/>
    <w:rsid w:val="00EB65EB"/>
    <w:rsid w:val="00EB749D"/>
    <w:rsid w:val="00EC7294"/>
    <w:rsid w:val="00EE7804"/>
    <w:rsid w:val="00EF2F52"/>
    <w:rsid w:val="00F22B32"/>
    <w:rsid w:val="00F30509"/>
    <w:rsid w:val="00F3589E"/>
    <w:rsid w:val="00F52768"/>
    <w:rsid w:val="00F56BD9"/>
    <w:rsid w:val="00F6539C"/>
    <w:rsid w:val="00F7008E"/>
    <w:rsid w:val="00F73087"/>
    <w:rsid w:val="00F76082"/>
    <w:rsid w:val="00F80F53"/>
    <w:rsid w:val="00F833DA"/>
    <w:rsid w:val="00F843D0"/>
    <w:rsid w:val="00F87321"/>
    <w:rsid w:val="00FA4989"/>
    <w:rsid w:val="00FA670E"/>
    <w:rsid w:val="00FC0486"/>
    <w:rsid w:val="00FC1B72"/>
    <w:rsid w:val="00FC327A"/>
    <w:rsid w:val="00FC553E"/>
    <w:rsid w:val="00FD14FB"/>
    <w:rsid w:val="00FD1FFD"/>
    <w:rsid w:val="00FD40F3"/>
    <w:rsid w:val="00FD4249"/>
    <w:rsid w:val="00FE2C39"/>
    <w:rsid w:val="00FE6CF5"/>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d171f,#686868,#948671"/>
    </o:shapedefaults>
    <o:shapelayout v:ext="edit">
      <o:idmap v:ext="edit" data="1"/>
    </o:shapelayout>
  </w:shapeDefaults>
  <w:decimalSymbol w:val="."/>
  <w:listSeparator w:val=","/>
  <w14:docId w14:val="7826BED5"/>
  <w15:docId w15:val="{99633EFF-231A-4B50-A824-0FF83E0D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50"/>
    <w:rPr>
      <w:rFonts w:asciiTheme="minorHAnsi" w:hAnsiTheme="minorHAnsi"/>
    </w:rPr>
  </w:style>
  <w:style w:type="paragraph" w:styleId="Heading1">
    <w:name w:val="heading 1"/>
    <w:basedOn w:val="BodyText"/>
    <w:next w:val="BodyText"/>
    <w:autoRedefine/>
    <w:qFormat/>
    <w:rsid w:val="0038482A"/>
    <w:pPr>
      <w:numPr>
        <w:numId w:val="18"/>
      </w:numPr>
      <w:spacing w:before="240"/>
      <w:contextualSpacing/>
      <w:outlineLvl w:val="0"/>
    </w:pPr>
    <w:rPr>
      <w:color w:val="1E4164" w:themeColor="accent1"/>
    </w:rPr>
  </w:style>
  <w:style w:type="paragraph" w:styleId="Heading2">
    <w:name w:val="heading 2"/>
    <w:basedOn w:val="Heading1"/>
    <w:next w:val="BodyText"/>
    <w:link w:val="Heading2Char"/>
    <w:autoRedefine/>
    <w:qFormat/>
    <w:rsid w:val="00FA4989"/>
    <w:pPr>
      <w:numPr>
        <w:ilvl w:val="1"/>
      </w:numPr>
      <w:spacing w:before="120"/>
      <w:outlineLvl w:val="1"/>
    </w:pPr>
  </w:style>
  <w:style w:type="paragraph" w:styleId="Heading3">
    <w:name w:val="heading 3"/>
    <w:basedOn w:val="Heading1"/>
    <w:next w:val="BodyText"/>
    <w:autoRedefine/>
    <w:qFormat/>
    <w:rsid w:val="00FA4989"/>
    <w:pPr>
      <w:numPr>
        <w:ilvl w:val="2"/>
      </w:numPr>
      <w:tabs>
        <w:tab w:val="left" w:pos="880"/>
      </w:tabs>
      <w:spacing w:before="120"/>
      <w:outlineLvl w:val="2"/>
    </w:pPr>
  </w:style>
  <w:style w:type="paragraph" w:styleId="Heading4">
    <w:name w:val="heading 4"/>
    <w:basedOn w:val="Heading1"/>
    <w:next w:val="BodyText"/>
    <w:link w:val="Heading4Char"/>
    <w:autoRedefine/>
    <w:unhideWhenUsed/>
    <w:qFormat/>
    <w:rsid w:val="00FA498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8"/>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8"/>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4008"/>
    <w:pPr>
      <w:tabs>
        <w:tab w:val="center" w:pos="4153"/>
        <w:tab w:val="right" w:pos="8306"/>
      </w:tabs>
    </w:pPr>
  </w:style>
  <w:style w:type="paragraph" w:styleId="Footer">
    <w:name w:val="footer"/>
    <w:basedOn w:val="BodyText"/>
    <w:link w:val="FooterChar"/>
    <w:uiPriority w:val="99"/>
    <w:rsid w:val="00CA51C0"/>
    <w:pPr>
      <w:pBdr>
        <w:top w:val="single" w:sz="4" w:space="1" w:color="948671"/>
      </w:pBdr>
      <w:tabs>
        <w:tab w:val="center" w:pos="4536"/>
        <w:tab w:val="right" w:pos="9072"/>
      </w:tabs>
      <w:spacing w:before="0" w:after="0"/>
    </w:pPr>
    <w:rPr>
      <w:caps/>
      <w:color w:val="948671"/>
      <w:sz w:val="15"/>
    </w:rPr>
  </w:style>
  <w:style w:type="paragraph" w:styleId="ListBullet">
    <w:name w:val="List Bullet"/>
    <w:basedOn w:val="BodyText"/>
    <w:rsid w:val="005E37B6"/>
    <w:pPr>
      <w:numPr>
        <w:numId w:val="37"/>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5E37B6"/>
    <w:pPr>
      <w:numPr>
        <w:numId w:val="38"/>
      </w:numPr>
    </w:pPr>
  </w:style>
  <w:style w:type="paragraph" w:styleId="ListBullet3">
    <w:name w:val="List Bullet 3"/>
    <w:basedOn w:val="ListBullet"/>
    <w:rsid w:val="005E37B6"/>
    <w:pPr>
      <w:numPr>
        <w:numId w:val="39"/>
      </w:numPr>
    </w:pPr>
  </w:style>
  <w:style w:type="paragraph" w:styleId="ListNumber">
    <w:name w:val="List Number"/>
    <w:basedOn w:val="BodyText"/>
    <w:rsid w:val="00CB3186"/>
    <w:pPr>
      <w:numPr>
        <w:numId w:val="31"/>
      </w:numPr>
    </w:pPr>
  </w:style>
  <w:style w:type="paragraph" w:styleId="ListNumber2">
    <w:name w:val="List Number 2"/>
    <w:basedOn w:val="ListNumber"/>
    <w:uiPriority w:val="99"/>
    <w:rsid w:val="00CB3186"/>
    <w:pPr>
      <w:numPr>
        <w:numId w:val="32"/>
      </w:numPr>
    </w:pPr>
  </w:style>
  <w:style w:type="paragraph" w:styleId="ListNumber3">
    <w:name w:val="List Number 3"/>
    <w:basedOn w:val="ListNumber"/>
    <w:uiPriority w:val="99"/>
    <w:rsid w:val="00CB3186"/>
    <w:pPr>
      <w:numPr>
        <w:numId w:val="33"/>
      </w:numPr>
    </w:pPr>
  </w:style>
  <w:style w:type="table" w:styleId="TableGrid">
    <w:name w:val="Table Grid"/>
    <w:basedOn w:val="TableNormal"/>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CA51C0"/>
    <w:rPr>
      <w:rFonts w:asciiTheme="minorHAnsi" w:hAnsiTheme="minorHAnsi"/>
      <w:caps/>
      <w:color w:val="948671"/>
      <w:sz w:val="15"/>
    </w:rPr>
  </w:style>
  <w:style w:type="paragraph" w:styleId="Title">
    <w:name w:val="Title"/>
    <w:basedOn w:val="BodyText"/>
    <w:next w:val="BodyText"/>
    <w:link w:val="TitleChar"/>
    <w:qFormat/>
    <w:rsid w:val="001C1BE0"/>
    <w:pPr>
      <w:ind w:left="851" w:hanging="851"/>
    </w:pPr>
    <w:rPr>
      <w:color w:val="1E4164" w:themeColor="accent1"/>
      <w:sz w:val="36"/>
      <w:szCs w:val="36"/>
    </w:rPr>
  </w:style>
  <w:style w:type="character" w:customStyle="1" w:styleId="TitleChar">
    <w:name w:val="Title Char"/>
    <w:basedOn w:val="DefaultParagraphFont"/>
    <w:link w:val="Title"/>
    <w:rsid w:val="001C1BE0"/>
    <w:rPr>
      <w:rFonts w:asciiTheme="minorHAnsi" w:hAnsiTheme="minorHAnsi"/>
      <w:color w:val="1E4164" w:themeColor="accent1"/>
      <w:sz w:val="36"/>
      <w:szCs w:val="36"/>
    </w:rPr>
  </w:style>
  <w:style w:type="character" w:customStyle="1" w:styleId="Heading4Char">
    <w:name w:val="Heading 4 Char"/>
    <w:basedOn w:val="DefaultParagraphFont"/>
    <w:link w:val="Heading4"/>
    <w:rsid w:val="00FA4989"/>
    <w:rPr>
      <w:rFonts w:asciiTheme="minorHAnsi" w:hAnsiTheme="minorHAnsi"/>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qFormat/>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216CD6"/>
    <w:rPr>
      <w:rFonts w:ascii="Arial" w:hAnsi="Arial"/>
      <w:sz w:val="21"/>
    </w:rPr>
    <w:tblPr>
      <w:tblBorders>
        <w:top w:val="single" w:sz="4" w:space="0" w:color="948671"/>
        <w:left w:val="single" w:sz="4" w:space="0" w:color="948671"/>
        <w:bottom w:val="single" w:sz="4" w:space="0" w:color="948671"/>
        <w:right w:val="single" w:sz="4" w:space="0" w:color="948671"/>
        <w:insideH w:val="single" w:sz="4" w:space="0" w:color="948671"/>
        <w:insideV w:val="single" w:sz="4" w:space="0" w:color="948671"/>
      </w:tblBorders>
    </w:tblPr>
    <w:tcPr>
      <w:vAlign w:val="center"/>
    </w:tcPr>
  </w:style>
  <w:style w:type="table" w:customStyle="1" w:styleId="BasicAEMOTable">
    <w:name w:val="Basic AEMO Table"/>
    <w:basedOn w:val="TableNormal"/>
    <w:uiPriority w:val="99"/>
    <w:qFormat/>
    <w:rsid w:val="002F7FED"/>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Heading2Char">
    <w:name w:val="Heading 2 Char"/>
    <w:basedOn w:val="DefaultParagraphFont"/>
    <w:link w:val="Heading2"/>
    <w:rsid w:val="00FA4989"/>
    <w:rPr>
      <w:rFonts w:asciiTheme="minorHAnsi" w:hAnsiTheme="minorHAnsi"/>
      <w:sz w:val="22"/>
    </w:rPr>
  </w:style>
  <w:style w:type="paragraph" w:styleId="BalloonText">
    <w:name w:val="Balloon Text"/>
    <w:basedOn w:val="Normal"/>
    <w:link w:val="BalloonTextChar"/>
    <w:rsid w:val="00CB3186"/>
    <w:rPr>
      <w:rFonts w:ascii="Tahoma" w:hAnsi="Tahoma" w:cs="Tahoma"/>
      <w:sz w:val="16"/>
      <w:szCs w:val="16"/>
    </w:rPr>
  </w:style>
  <w:style w:type="character" w:customStyle="1" w:styleId="BalloonTextChar">
    <w:name w:val="Balloon Text Char"/>
    <w:basedOn w:val="DefaultParagraphFont"/>
    <w:link w:val="BalloonText"/>
    <w:rsid w:val="00CB3186"/>
    <w:rPr>
      <w:rFonts w:ascii="Tahoma" w:hAnsi="Tahoma" w:cs="Tahoma"/>
      <w:sz w:val="16"/>
      <w:szCs w:val="16"/>
    </w:rPr>
  </w:style>
  <w:style w:type="paragraph" w:customStyle="1" w:styleId="DataStyle">
    <w:name w:val="Data Style"/>
    <w:basedOn w:val="BodyText"/>
    <w:next w:val="BodyText"/>
    <w:qFormat/>
    <w:rsid w:val="00216CD6"/>
    <w:rPr>
      <w:caps/>
      <w:color w:val="1E4164" w:themeColor="accent1"/>
      <w:sz w:val="24"/>
      <w:szCs w:val="22"/>
    </w:rPr>
  </w:style>
  <w:style w:type="paragraph" w:customStyle="1" w:styleId="DataStyle2">
    <w:name w:val="Data Style 2"/>
    <w:basedOn w:val="DataStyle"/>
    <w:qFormat/>
    <w:rsid w:val="00216CD6"/>
    <w:rPr>
      <w:sz w:val="19"/>
    </w:rPr>
  </w:style>
  <w:style w:type="paragraph" w:customStyle="1" w:styleId="AttachmentListNumber">
    <w:name w:val="Attachment List Number"/>
    <w:basedOn w:val="ListNumber"/>
    <w:next w:val="BodyText"/>
    <w:qFormat/>
    <w:rsid w:val="005715FA"/>
    <w:pPr>
      <w:numPr>
        <w:numId w:val="23"/>
      </w:numPr>
    </w:pPr>
    <w:rPr>
      <w:caps/>
      <w:color w:val="1E4164" w:themeColor="accent1"/>
      <w:sz w:val="19"/>
      <w:szCs w:val="19"/>
    </w:rPr>
  </w:style>
  <w:style w:type="paragraph" w:customStyle="1" w:styleId="FooterFirst">
    <w:name w:val="Footer First"/>
    <w:basedOn w:val="DataStyle"/>
    <w:next w:val="BodyText"/>
    <w:qFormat/>
    <w:rsid w:val="0073096D"/>
    <w:pPr>
      <w:spacing w:before="0" w:after="60"/>
    </w:pPr>
    <w:rPr>
      <w:color w:val="948671"/>
      <w:sz w:val="15"/>
      <w:szCs w:val="16"/>
    </w:rPr>
  </w:style>
  <w:style w:type="paragraph" w:customStyle="1" w:styleId="GoldLine">
    <w:name w:val="Gold Line"/>
    <w:basedOn w:val="BodyText"/>
    <w:qFormat/>
    <w:rsid w:val="00317A98"/>
    <w:pPr>
      <w:spacing w:after="240"/>
    </w:pPr>
  </w:style>
  <w:style w:type="paragraph" w:styleId="FootnoteText">
    <w:name w:val="footnote text"/>
    <w:aliases w:val="(NECG) Footnote Text,ALTS FOOTNOTE,APR,APR Footnote"/>
    <w:basedOn w:val="Normal"/>
    <w:link w:val="FootnoteTextChar"/>
    <w:unhideWhenUsed/>
    <w:rsid w:val="00937F3F"/>
  </w:style>
  <w:style w:type="character" w:customStyle="1" w:styleId="FootnoteTextChar">
    <w:name w:val="Footnote Text Char"/>
    <w:aliases w:val="(NECG) Footnote Text Char,ALTS FOOTNOTE Char,APR Char,APR Footnote Char"/>
    <w:basedOn w:val="DefaultParagraphFont"/>
    <w:link w:val="FootnoteText"/>
    <w:rsid w:val="00937F3F"/>
    <w:rPr>
      <w:rFonts w:asciiTheme="minorHAnsi" w:hAnsiTheme="minorHAnsi"/>
    </w:rPr>
  </w:style>
  <w:style w:type="character" w:styleId="FootnoteReference">
    <w:name w:val="footnote reference"/>
    <w:basedOn w:val="DefaultParagraphFont"/>
    <w:uiPriority w:val="99"/>
    <w:unhideWhenUsed/>
    <w:rsid w:val="00937F3F"/>
    <w:rPr>
      <w:vertAlign w:val="superscript"/>
    </w:rPr>
  </w:style>
  <w:style w:type="character" w:styleId="CommentReference">
    <w:name w:val="annotation reference"/>
    <w:basedOn w:val="DefaultParagraphFont"/>
    <w:semiHidden/>
    <w:unhideWhenUsed/>
    <w:rsid w:val="00346601"/>
    <w:rPr>
      <w:sz w:val="16"/>
      <w:szCs w:val="16"/>
    </w:rPr>
  </w:style>
  <w:style w:type="paragraph" w:styleId="CommentText">
    <w:name w:val="annotation text"/>
    <w:basedOn w:val="Normal"/>
    <w:link w:val="CommentTextChar"/>
    <w:semiHidden/>
    <w:unhideWhenUsed/>
    <w:rsid w:val="00346601"/>
  </w:style>
  <w:style w:type="character" w:customStyle="1" w:styleId="CommentTextChar">
    <w:name w:val="Comment Text Char"/>
    <w:basedOn w:val="DefaultParagraphFont"/>
    <w:link w:val="CommentText"/>
    <w:semiHidden/>
    <w:rsid w:val="00346601"/>
    <w:rPr>
      <w:rFonts w:asciiTheme="minorHAnsi" w:hAnsiTheme="minorHAnsi"/>
    </w:rPr>
  </w:style>
  <w:style w:type="paragraph" w:styleId="CommentSubject">
    <w:name w:val="annotation subject"/>
    <w:basedOn w:val="CommentText"/>
    <w:next w:val="CommentText"/>
    <w:link w:val="CommentSubjectChar"/>
    <w:semiHidden/>
    <w:unhideWhenUsed/>
    <w:rsid w:val="00346601"/>
    <w:rPr>
      <w:b/>
      <w:bCs/>
    </w:rPr>
  </w:style>
  <w:style w:type="character" w:customStyle="1" w:styleId="CommentSubjectChar">
    <w:name w:val="Comment Subject Char"/>
    <w:basedOn w:val="CommentTextChar"/>
    <w:link w:val="CommentSubject"/>
    <w:semiHidden/>
    <w:rsid w:val="00346601"/>
    <w:rPr>
      <w:rFonts w:asciiTheme="minorHAnsi" w:hAnsiTheme="minorHAnsi"/>
      <w:b/>
      <w:bCs/>
    </w:rPr>
  </w:style>
  <w:style w:type="paragraph" w:styleId="Revision">
    <w:name w:val="Revision"/>
    <w:hidden/>
    <w:uiPriority w:val="99"/>
    <w:semiHidden/>
    <w:rsid w:val="00783EA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062581">
      <w:bodyDiv w:val="1"/>
      <w:marLeft w:val="0"/>
      <w:marRight w:val="0"/>
      <w:marTop w:val="0"/>
      <w:marBottom w:val="0"/>
      <w:divBdr>
        <w:top w:val="none" w:sz="0" w:space="0" w:color="auto"/>
        <w:left w:val="none" w:sz="0" w:space="0" w:color="auto"/>
        <w:bottom w:val="none" w:sz="0" w:space="0" w:color="auto"/>
        <w:right w:val="none" w:sz="0" w:space="0" w:color="auto"/>
      </w:divBdr>
      <w:divsChild>
        <w:div w:id="953905982">
          <w:marLeft w:val="720"/>
          <w:marRight w:val="0"/>
          <w:marTop w:val="200"/>
          <w:marBottom w:val="0"/>
          <w:divBdr>
            <w:top w:val="none" w:sz="0" w:space="0" w:color="auto"/>
            <w:left w:val="none" w:sz="0" w:space="0" w:color="auto"/>
            <w:bottom w:val="none" w:sz="0" w:space="0" w:color="auto"/>
            <w:right w:val="none" w:sz="0" w:space="0" w:color="auto"/>
          </w:divBdr>
        </w:div>
        <w:div w:id="1658723662">
          <w:marLeft w:val="720"/>
          <w:marRight w:val="0"/>
          <w:marTop w:val="200"/>
          <w:marBottom w:val="0"/>
          <w:divBdr>
            <w:top w:val="none" w:sz="0" w:space="0" w:color="auto"/>
            <w:left w:val="none" w:sz="0" w:space="0" w:color="auto"/>
            <w:bottom w:val="none" w:sz="0" w:space="0" w:color="auto"/>
            <w:right w:val="none" w:sz="0" w:space="0" w:color="auto"/>
          </w:divBdr>
        </w:div>
        <w:div w:id="1675649805">
          <w:marLeft w:val="720"/>
          <w:marRight w:val="0"/>
          <w:marTop w:val="200"/>
          <w:marBottom w:val="0"/>
          <w:divBdr>
            <w:top w:val="none" w:sz="0" w:space="0" w:color="auto"/>
            <w:left w:val="none" w:sz="0" w:space="0" w:color="auto"/>
            <w:bottom w:val="none" w:sz="0" w:space="0" w:color="auto"/>
            <w:right w:val="none" w:sz="0" w:space="0" w:color="auto"/>
          </w:divBdr>
        </w:div>
        <w:div w:id="304626836">
          <w:marLeft w:val="720"/>
          <w:marRight w:val="0"/>
          <w:marTop w:val="200"/>
          <w:marBottom w:val="0"/>
          <w:divBdr>
            <w:top w:val="none" w:sz="0" w:space="0" w:color="auto"/>
            <w:left w:val="none" w:sz="0" w:space="0" w:color="auto"/>
            <w:bottom w:val="none" w:sz="0" w:space="0" w:color="auto"/>
            <w:right w:val="none" w:sz="0" w:space="0" w:color="auto"/>
          </w:divBdr>
        </w:div>
        <w:div w:id="161240865">
          <w:marLeft w:val="720"/>
          <w:marRight w:val="0"/>
          <w:marTop w:val="200"/>
          <w:marBottom w:val="0"/>
          <w:divBdr>
            <w:top w:val="none" w:sz="0" w:space="0" w:color="auto"/>
            <w:left w:val="none" w:sz="0" w:space="0" w:color="auto"/>
            <w:bottom w:val="none" w:sz="0" w:space="0" w:color="auto"/>
            <w:right w:val="none" w:sz="0" w:space="0" w:color="auto"/>
          </w:divBdr>
        </w:div>
        <w:div w:id="762187517">
          <w:marLeft w:val="720"/>
          <w:marRight w:val="0"/>
          <w:marTop w:val="200"/>
          <w:marBottom w:val="0"/>
          <w:divBdr>
            <w:top w:val="none" w:sz="0" w:space="0" w:color="auto"/>
            <w:left w:val="none" w:sz="0" w:space="0" w:color="auto"/>
            <w:bottom w:val="none" w:sz="0" w:space="0" w:color="auto"/>
            <w:right w:val="none" w:sz="0" w:space="0" w:color="auto"/>
          </w:divBdr>
        </w:div>
        <w:div w:id="252013736">
          <w:marLeft w:val="720"/>
          <w:marRight w:val="0"/>
          <w:marTop w:val="200"/>
          <w:marBottom w:val="0"/>
          <w:divBdr>
            <w:top w:val="none" w:sz="0" w:space="0" w:color="auto"/>
            <w:left w:val="none" w:sz="0" w:space="0" w:color="auto"/>
            <w:bottom w:val="none" w:sz="0" w:space="0" w:color="auto"/>
            <w:right w:val="none" w:sz="0" w:space="0" w:color="auto"/>
          </w:divBdr>
        </w:div>
        <w:div w:id="306207505">
          <w:marLeft w:val="720"/>
          <w:marRight w:val="0"/>
          <w:marTop w:val="200"/>
          <w:marBottom w:val="0"/>
          <w:divBdr>
            <w:top w:val="none" w:sz="0" w:space="0" w:color="auto"/>
            <w:left w:val="none" w:sz="0" w:space="0" w:color="auto"/>
            <w:bottom w:val="none" w:sz="0" w:space="0" w:color="auto"/>
            <w:right w:val="none" w:sz="0" w:space="0" w:color="auto"/>
          </w:divBdr>
        </w:div>
        <w:div w:id="1994136717">
          <w:marLeft w:val="706"/>
          <w:marRight w:val="0"/>
          <w:marTop w:val="200"/>
          <w:marBottom w:val="0"/>
          <w:divBdr>
            <w:top w:val="none" w:sz="0" w:space="0" w:color="auto"/>
            <w:left w:val="none" w:sz="0" w:space="0" w:color="auto"/>
            <w:bottom w:val="none" w:sz="0" w:space="0" w:color="auto"/>
            <w:right w:val="none" w:sz="0" w:space="0" w:color="auto"/>
          </w:divBdr>
        </w:div>
        <w:div w:id="1327124301">
          <w:marLeft w:val="706"/>
          <w:marRight w:val="0"/>
          <w:marTop w:val="200"/>
          <w:marBottom w:val="0"/>
          <w:divBdr>
            <w:top w:val="none" w:sz="0" w:space="0" w:color="auto"/>
            <w:left w:val="none" w:sz="0" w:space="0" w:color="auto"/>
            <w:bottom w:val="none" w:sz="0" w:space="0" w:color="auto"/>
            <w:right w:val="none" w:sz="0" w:space="0" w:color="auto"/>
          </w:divBdr>
        </w:div>
        <w:div w:id="709040414">
          <w:marLeft w:val="706"/>
          <w:marRight w:val="0"/>
          <w:marTop w:val="200"/>
          <w:marBottom w:val="0"/>
          <w:divBdr>
            <w:top w:val="none" w:sz="0" w:space="0" w:color="auto"/>
            <w:left w:val="none" w:sz="0" w:space="0" w:color="auto"/>
            <w:bottom w:val="none" w:sz="0" w:space="0" w:color="auto"/>
            <w:right w:val="none" w:sz="0" w:space="0" w:color="auto"/>
          </w:divBdr>
        </w:div>
        <w:div w:id="638997464">
          <w:marLeft w:val="70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F0352634904C199B6495DE9E88368C"/>
        <w:category>
          <w:name w:val="General"/>
          <w:gallery w:val="placeholder"/>
        </w:category>
        <w:types>
          <w:type w:val="bbPlcHdr"/>
        </w:types>
        <w:behaviors>
          <w:behavior w:val="content"/>
        </w:behaviors>
        <w:guid w:val="{28EF0234-5B77-40E5-BF34-65C47443077A}"/>
      </w:docPartPr>
      <w:docPartBody>
        <w:p w:rsidR="008554B6" w:rsidRDefault="00486798">
          <w:pPr>
            <w:pStyle w:val="8EF0352634904C199B6495DE9E88368C"/>
          </w:pPr>
          <w:r w:rsidRPr="00140BD1">
            <w:rPr>
              <w:rStyle w:val="PlaceholderText"/>
            </w:rPr>
            <w:t>Choose an item.</w:t>
          </w:r>
        </w:p>
      </w:docPartBody>
    </w:docPart>
    <w:docPart>
      <w:docPartPr>
        <w:name w:val="8099920775954E10BE7CA92093B80F06"/>
        <w:category>
          <w:name w:val="General"/>
          <w:gallery w:val="placeholder"/>
        </w:category>
        <w:types>
          <w:type w:val="bbPlcHdr"/>
        </w:types>
        <w:behaviors>
          <w:behavior w:val="content"/>
        </w:behaviors>
        <w:guid w:val="{E8544034-1582-4E6D-AC12-19BDC05778D2}"/>
      </w:docPartPr>
      <w:docPartBody>
        <w:p w:rsidR="008554B6" w:rsidRDefault="00486798">
          <w:pPr>
            <w:pStyle w:val="8099920775954E10BE7CA92093B80F06"/>
          </w:pPr>
          <w:r w:rsidRPr="00911ED3">
            <w:t>ENTER AGENDA ITEM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98"/>
    <w:rsid w:val="00486798"/>
    <w:rsid w:val="00855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8EF0352634904C199B6495DE9E88368C">
    <w:name w:val="8EF0352634904C199B6495DE9E88368C"/>
  </w:style>
  <w:style w:type="paragraph" w:customStyle="1" w:styleId="8099920775954E10BE7CA92093B80F06">
    <w:name w:val="8099920775954E10BE7CA92093B80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2017-08-10T00:00:00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09ac0fb-07cb-4169-8a26-def2760b5502" ContentTypeId="0x0101009BE89D58CAF0934CA32A20BCFFD353DC" PreviousValue="false"/>
</file>

<file path=customXml/item4.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PROJECT-352-6955</_dlc_DocId>
    <_dlc_DocIdUrl xmlns="a14523ce-dede-483e-883a-2d83261080bd">
      <Url>http://sharedocs/projects/pocprogram/_layouts/15/DocIdRedir.aspx?ID=PROJECT-352-6955</Url>
      <Description>PROJECT-352-6955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4C8B6-E5F2-43EF-9DFB-0D07DDFE2199}">
  <ds:schemaRefs>
    <ds:schemaRef ds:uri="http://schemas.microsoft.com/sharepoint/v3/contenttype/forms"/>
  </ds:schemaRefs>
</ds:datastoreItem>
</file>

<file path=customXml/itemProps3.xml><?xml version="1.0" encoding="utf-8"?>
<ds:datastoreItem xmlns:ds="http://schemas.openxmlformats.org/officeDocument/2006/customXml" ds:itemID="{DFBA7857-872A-4078-82BF-A3C29879002A}">
  <ds:schemaRefs>
    <ds:schemaRef ds:uri="Microsoft.SharePoint.Taxonomy.ContentTypeSync"/>
  </ds:schemaRefs>
</ds:datastoreItem>
</file>

<file path=customXml/itemProps4.xml><?xml version="1.0" encoding="utf-8"?>
<ds:datastoreItem xmlns:ds="http://schemas.openxmlformats.org/officeDocument/2006/customXml" ds:itemID="{B67EF103-F58E-46AC-9996-84957BBB103D}">
  <ds:schemaRefs>
    <ds:schemaRef ds:uri="http://schemas.microsoft.com/office/2006/documentManagement/types"/>
    <ds:schemaRef ds:uri="http://schemas.microsoft.com/office/2006/metadata/properties"/>
    <ds:schemaRef ds:uri="http://www.w3.org/XML/1998/namespace"/>
    <ds:schemaRef ds:uri="a14523ce-dede-483e-883a-2d83261080bd"/>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A31E91B-D0F4-4D77-942E-46CA4C5A6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D783B4-1EC6-4A6C-B2A5-76C946C852DB}">
  <ds:schemaRefs>
    <ds:schemaRef ds:uri="http://schemas.microsoft.com/office/2006/metadata/customXsn"/>
  </ds:schemaRefs>
</ds:datastoreItem>
</file>

<file path=customXml/itemProps7.xml><?xml version="1.0" encoding="utf-8"?>
<ds:datastoreItem xmlns:ds="http://schemas.openxmlformats.org/officeDocument/2006/customXml" ds:itemID="{62A49DD2-A511-4CE3-B498-F26E765FAF96}">
  <ds:schemaRefs>
    <ds:schemaRef ds:uri="http://schemas.microsoft.com/sharepoint/events"/>
  </ds:schemaRefs>
</ds:datastoreItem>
</file>

<file path=customXml/itemProps8.xml><?xml version="1.0" encoding="utf-8"?>
<ds:datastoreItem xmlns:ds="http://schemas.openxmlformats.org/officeDocument/2006/customXml" ds:itemID="{C6129BA3-1064-447D-8CD3-9B56AA71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AEMO Paper Contingency Planning Approach</vt:lpstr>
    </vt:vector>
  </TitlesOfParts>
  <Company>AEMO</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AEMO Paper Contingency Planning Approach</dc:title>
  <dc:creator>Michael Ryan</dc:creator>
  <cp:keywords>N/A</cp:keywords>
  <cp:lastModifiedBy>Jennifer Fikret</cp:lastModifiedBy>
  <cp:revision>3</cp:revision>
  <cp:lastPrinted>2017-08-07T08:40:00Z</cp:lastPrinted>
  <dcterms:created xsi:type="dcterms:W3CDTF">2017-08-08T05:58:00Z</dcterms:created>
  <dcterms:modified xsi:type="dcterms:W3CDTF">2017-08-08T06:11:00Z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0x0101009BE89D58CAF0934CA32A20BCFFD353DC00DDEC116C19245B4398932FF2C50DC75A</vt:lpwstr>
  </property>
  <property fmtid="{D5CDD505-2E9C-101B-9397-08002B2CF9AE}" pid="3" name="_dlc_DocIdItemGuid">
    <vt:lpwstr>05ecdfbc-d856-4083-997e-aeb93da36806</vt:lpwstr>
  </property>
  <property fmtid="{D5CDD505-2E9C-101B-9397-08002B2CF9AE}" pid="4" name="AEMODocumentType">
    <vt:lpwstr>1;#Operational Record|859762f2-4462-42eb-9744-c955c7e2c540</vt:lpwstr>
  </property>
  <property fmtid="{D5CDD505-2E9C-101B-9397-08002B2CF9AE}" pid="5" name="AEMOKeywords">
    <vt:lpwstr/>
  </property>
</Properties>
</file>