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A35DE" w14:textId="77777777" w:rsidR="007A0134" w:rsidRPr="00497536" w:rsidRDefault="00785D0D">
      <w:pPr>
        <w:rPr>
          <w:rFonts w:ascii="Arial" w:hAnsi="Arial" w:cs="Arial"/>
          <w:b/>
        </w:rPr>
      </w:pPr>
      <w:bookmarkStart w:id="0" w:name="_GoBack"/>
      <w:bookmarkEnd w:id="0"/>
      <w:r w:rsidRPr="00497536">
        <w:rPr>
          <w:rFonts w:ascii="Arial" w:hAnsi="Arial" w:cs="Arial"/>
          <w:b/>
        </w:rPr>
        <w:t>Notice to Gas Supply Hub Exchange Members of amendments to the Gas Supply Hub Exchange Agreement for Fixed</w:t>
      </w:r>
      <w:r w:rsidR="00497536" w:rsidRPr="00497536">
        <w:rPr>
          <w:rFonts w:ascii="Arial" w:hAnsi="Arial" w:cs="Arial"/>
          <w:b/>
        </w:rPr>
        <w:t xml:space="preserve"> Exchange Fee</w:t>
      </w:r>
    </w:p>
    <w:p w14:paraId="2CBA35DF" w14:textId="77777777" w:rsidR="00785D0D" w:rsidRPr="00497536" w:rsidRDefault="00785D0D" w:rsidP="00785D0D">
      <w:pPr>
        <w:pStyle w:val="Default"/>
      </w:pPr>
    </w:p>
    <w:p w14:paraId="2CBA35E0" w14:textId="68A5D3EF" w:rsidR="00785D0D" w:rsidRPr="00497536" w:rsidRDefault="00785D0D" w:rsidP="00785D0D">
      <w:pPr>
        <w:pStyle w:val="Default"/>
        <w:rPr>
          <w:sz w:val="22"/>
          <w:szCs w:val="22"/>
        </w:rPr>
      </w:pPr>
      <w:r w:rsidRPr="00497536">
        <w:rPr>
          <w:sz w:val="22"/>
          <w:szCs w:val="22"/>
        </w:rPr>
        <w:t xml:space="preserve">This Notice advises all Gas Supply Hub Exchange members and other interested stakeholders that AEMO has completed its consultation for the Gas Supply Hub </w:t>
      </w:r>
      <w:r w:rsidR="00213FFC">
        <w:rPr>
          <w:sz w:val="22"/>
          <w:szCs w:val="22"/>
        </w:rPr>
        <w:t>Fees</w:t>
      </w:r>
      <w:r w:rsidRPr="00497536">
        <w:rPr>
          <w:sz w:val="22"/>
          <w:szCs w:val="22"/>
        </w:rPr>
        <w:t xml:space="preserve"> – Fixed</w:t>
      </w:r>
      <w:r w:rsidR="00497536" w:rsidRPr="00497536">
        <w:rPr>
          <w:sz w:val="22"/>
          <w:szCs w:val="22"/>
        </w:rPr>
        <w:t xml:space="preserve"> Exchange</w:t>
      </w:r>
      <w:r w:rsidRPr="00497536">
        <w:rPr>
          <w:sz w:val="22"/>
          <w:szCs w:val="22"/>
        </w:rPr>
        <w:t xml:space="preserve"> Fee</w:t>
      </w:r>
      <w:r w:rsidR="00497536" w:rsidRPr="00497536">
        <w:rPr>
          <w:sz w:val="22"/>
          <w:szCs w:val="22"/>
        </w:rPr>
        <w:t xml:space="preserve">s (IIR </w:t>
      </w:r>
      <w:r w:rsidR="00B51A94">
        <w:rPr>
          <w:sz w:val="22"/>
          <w:szCs w:val="22"/>
        </w:rPr>
        <w:t>011</w:t>
      </w:r>
      <w:r w:rsidRPr="00497536">
        <w:rPr>
          <w:sz w:val="22"/>
          <w:szCs w:val="22"/>
        </w:rPr>
        <w:t xml:space="preserve">). AEMO proposed changes to the </w:t>
      </w:r>
      <w:r w:rsidR="00213FFC">
        <w:rPr>
          <w:sz w:val="22"/>
          <w:szCs w:val="22"/>
        </w:rPr>
        <w:t>Gas Supply Hub fees</w:t>
      </w:r>
      <w:r w:rsidRPr="00497536">
        <w:rPr>
          <w:sz w:val="22"/>
          <w:szCs w:val="22"/>
        </w:rPr>
        <w:t xml:space="preserve"> to modify </w:t>
      </w:r>
      <w:r w:rsidR="00497536" w:rsidRPr="00497536">
        <w:rPr>
          <w:sz w:val="22"/>
          <w:szCs w:val="22"/>
        </w:rPr>
        <w:t xml:space="preserve">the Fixed Fee methodology for Trading and Viewing Participants, and the introduction of a Fixed Fee </w:t>
      </w:r>
      <w:r w:rsidR="00B51A94">
        <w:rPr>
          <w:sz w:val="22"/>
          <w:szCs w:val="22"/>
        </w:rPr>
        <w:t>r</w:t>
      </w:r>
      <w:r w:rsidR="00497536" w:rsidRPr="00497536">
        <w:rPr>
          <w:sz w:val="22"/>
          <w:szCs w:val="22"/>
        </w:rPr>
        <w:t>ebate mechanism for Trading Participants</w:t>
      </w:r>
      <w:r w:rsidRPr="00497536">
        <w:rPr>
          <w:sz w:val="22"/>
          <w:szCs w:val="22"/>
        </w:rPr>
        <w:t xml:space="preserve">. Taking into account the assessment provided in the Impact and Implementation Report (IIR), AEMO has decided to implement the proposed amendments to the Exchange Agreement, effective from </w:t>
      </w:r>
      <w:r w:rsidR="00497536" w:rsidRPr="00497536">
        <w:rPr>
          <w:sz w:val="22"/>
          <w:szCs w:val="22"/>
        </w:rPr>
        <w:t>1 December 2017</w:t>
      </w:r>
      <w:r w:rsidRPr="00497536">
        <w:rPr>
          <w:sz w:val="22"/>
          <w:szCs w:val="22"/>
        </w:rPr>
        <w:t xml:space="preserve">. </w:t>
      </w:r>
    </w:p>
    <w:p w14:paraId="2CBA35E1" w14:textId="77777777" w:rsidR="00785D0D" w:rsidRPr="00497536" w:rsidRDefault="00785D0D" w:rsidP="00785D0D">
      <w:pPr>
        <w:pStyle w:val="Default"/>
        <w:rPr>
          <w:sz w:val="22"/>
          <w:szCs w:val="22"/>
        </w:rPr>
      </w:pPr>
    </w:p>
    <w:p w14:paraId="2CBA35E2" w14:textId="3609466A" w:rsidR="00D85D33" w:rsidRPr="00497536" w:rsidRDefault="00D85D33" w:rsidP="00D85D33">
      <w:pPr>
        <w:rPr>
          <w:rFonts w:ascii="Arial" w:hAnsi="Arial" w:cs="Arial"/>
        </w:rPr>
      </w:pPr>
      <w:r w:rsidRPr="00497536">
        <w:rPr>
          <w:rFonts w:ascii="Arial" w:hAnsi="Arial" w:cs="Arial"/>
        </w:rPr>
        <w:t xml:space="preserve">AEMO </w:t>
      </w:r>
      <w:r w:rsidRPr="005E7818">
        <w:rPr>
          <w:rFonts w:ascii="Arial" w:hAnsi="Arial" w:cs="Arial"/>
        </w:rPr>
        <w:t>received one submission</w:t>
      </w:r>
      <w:r>
        <w:rPr>
          <w:rFonts w:ascii="Arial" w:hAnsi="Arial" w:cs="Arial"/>
        </w:rPr>
        <w:t xml:space="preserve"> from stakeholders, in response to the proposed amendments to the Exchange Agreement as outlined in the IIR. The comment is shown in Attachment A.</w:t>
      </w:r>
    </w:p>
    <w:p w14:paraId="2CBA35E5" w14:textId="7FAB9AC5" w:rsidR="001E78F4" w:rsidRDefault="00785D0D" w:rsidP="00497536">
      <w:pPr>
        <w:rPr>
          <w:rFonts w:ascii="Arial" w:hAnsi="Arial" w:cs="Arial"/>
        </w:rPr>
      </w:pPr>
      <w:r w:rsidRPr="00497536">
        <w:rPr>
          <w:rFonts w:ascii="Arial" w:hAnsi="Arial" w:cs="Arial"/>
        </w:rPr>
        <w:t xml:space="preserve">The changes will be incorporated in version </w:t>
      </w:r>
      <w:r w:rsidR="00D85D33" w:rsidRPr="00A51D56">
        <w:rPr>
          <w:rFonts w:ascii="Arial" w:hAnsi="Arial" w:cs="Arial"/>
        </w:rPr>
        <w:t>4</w:t>
      </w:r>
      <w:r w:rsidRPr="00A51D56">
        <w:rPr>
          <w:rFonts w:ascii="Arial" w:hAnsi="Arial" w:cs="Arial"/>
        </w:rPr>
        <w:t>.0</w:t>
      </w:r>
      <w:r w:rsidRPr="00497536">
        <w:rPr>
          <w:rFonts w:ascii="Arial" w:hAnsi="Arial" w:cs="Arial"/>
        </w:rPr>
        <w:t xml:space="preserve"> of the </w:t>
      </w:r>
      <w:r w:rsidR="00D85D33">
        <w:rPr>
          <w:rFonts w:ascii="Arial" w:hAnsi="Arial" w:cs="Arial"/>
        </w:rPr>
        <w:t xml:space="preserve">Gas Supply Hub </w:t>
      </w:r>
      <w:r w:rsidRPr="00497536">
        <w:rPr>
          <w:rFonts w:ascii="Arial" w:hAnsi="Arial" w:cs="Arial"/>
        </w:rPr>
        <w:t xml:space="preserve">Exchange </w:t>
      </w:r>
      <w:r w:rsidR="00D85D33">
        <w:rPr>
          <w:rFonts w:ascii="Arial" w:hAnsi="Arial" w:cs="Arial"/>
        </w:rPr>
        <w:t>Fees procedure</w:t>
      </w:r>
      <w:r w:rsidR="00D85D33" w:rsidRPr="00497536">
        <w:rPr>
          <w:rFonts w:ascii="Arial" w:hAnsi="Arial" w:cs="Arial"/>
        </w:rPr>
        <w:t xml:space="preserve"> </w:t>
      </w:r>
      <w:r w:rsidRPr="00497536">
        <w:rPr>
          <w:rFonts w:ascii="Arial" w:hAnsi="Arial" w:cs="Arial"/>
        </w:rPr>
        <w:t>by including</w:t>
      </w:r>
      <w:r w:rsidR="00D85D33">
        <w:rPr>
          <w:rFonts w:ascii="Arial" w:hAnsi="Arial" w:cs="Arial"/>
        </w:rPr>
        <w:t xml:space="preserve"> the amendments outlined in Attachment B.</w:t>
      </w:r>
      <w:r w:rsidR="00497536" w:rsidRPr="00497536">
        <w:rPr>
          <w:rFonts w:ascii="Arial" w:hAnsi="Arial" w:cs="Arial"/>
        </w:rPr>
        <w:t xml:space="preserve">As required by the Gas Supply Hub Exchange Agreement clause 3.3(d) (iv), AEMO informs Participants that version </w:t>
      </w:r>
      <w:r w:rsidR="00D85D33">
        <w:rPr>
          <w:rFonts w:ascii="Arial" w:hAnsi="Arial" w:cs="Arial"/>
        </w:rPr>
        <w:t>4</w:t>
      </w:r>
      <w:r w:rsidR="00497536" w:rsidRPr="00A51D56">
        <w:rPr>
          <w:rFonts w:ascii="Arial" w:hAnsi="Arial" w:cs="Arial"/>
        </w:rPr>
        <w:t>.0</w:t>
      </w:r>
      <w:r w:rsidR="00497536" w:rsidRPr="00497536">
        <w:rPr>
          <w:rFonts w:ascii="Arial" w:hAnsi="Arial" w:cs="Arial"/>
        </w:rPr>
        <w:t xml:space="preserve"> of the Gas Supply Exchange Agreement will be effective from 1 December 2017.</w:t>
      </w:r>
    </w:p>
    <w:p w14:paraId="2CBA35E6" w14:textId="77777777" w:rsidR="00394925" w:rsidRDefault="00394925" w:rsidP="00497536">
      <w:pPr>
        <w:rPr>
          <w:rFonts w:ascii="Arial" w:hAnsi="Arial" w:cs="Arial"/>
        </w:rPr>
        <w:sectPr w:rsidR="00394925">
          <w:pgSz w:w="11906" w:h="16838"/>
          <w:pgMar w:top="1440" w:right="1440" w:bottom="1440" w:left="1440" w:header="708" w:footer="708" w:gutter="0"/>
          <w:cols w:space="708"/>
          <w:docGrid w:linePitch="360"/>
        </w:sectPr>
      </w:pPr>
    </w:p>
    <w:p w14:paraId="2CBA35E7" w14:textId="77777777" w:rsidR="00497536" w:rsidRPr="00394925" w:rsidRDefault="001E78F4" w:rsidP="00497536">
      <w:pPr>
        <w:rPr>
          <w:rFonts w:ascii="Arial" w:hAnsi="Arial" w:cs="Arial"/>
          <w:b/>
        </w:rPr>
      </w:pPr>
      <w:r w:rsidRPr="00394925">
        <w:rPr>
          <w:rFonts w:ascii="Arial" w:hAnsi="Arial" w:cs="Arial"/>
          <w:b/>
        </w:rPr>
        <w:lastRenderedPageBreak/>
        <w:t>Attachment A: Summary of stakeholder comments on Gas Supply Hub Exchange Agreement Consultation IIR</w:t>
      </w:r>
      <w:r w:rsidR="00DF7559">
        <w:rPr>
          <w:rFonts w:ascii="Arial" w:hAnsi="Arial" w:cs="Arial"/>
          <w:b/>
        </w:rPr>
        <w:t xml:space="preserve"> 011</w:t>
      </w:r>
    </w:p>
    <w:tbl>
      <w:tblPr>
        <w:tblStyle w:val="TableGrid"/>
        <w:tblW w:w="0" w:type="auto"/>
        <w:tblLook w:val="04A0" w:firstRow="1" w:lastRow="0" w:firstColumn="1" w:lastColumn="0" w:noHBand="0" w:noVBand="1"/>
      </w:tblPr>
      <w:tblGrid>
        <w:gridCol w:w="3005"/>
        <w:gridCol w:w="5637"/>
        <w:gridCol w:w="4820"/>
      </w:tblGrid>
      <w:tr w:rsidR="001E78F4" w14:paraId="2CBA35EB" w14:textId="77777777" w:rsidTr="005E7818">
        <w:tc>
          <w:tcPr>
            <w:tcW w:w="3005" w:type="dxa"/>
            <w:shd w:val="clear" w:color="auto" w:fill="D9D9D9" w:themeFill="background1" w:themeFillShade="D9"/>
          </w:tcPr>
          <w:p w14:paraId="2CBA35E8" w14:textId="77777777" w:rsidR="001E78F4" w:rsidRDefault="001E78F4" w:rsidP="00394925">
            <w:pPr>
              <w:spacing w:before="120" w:after="120"/>
              <w:rPr>
                <w:rFonts w:ascii="Arial" w:hAnsi="Arial" w:cs="Arial"/>
              </w:rPr>
            </w:pPr>
            <w:r>
              <w:rPr>
                <w:rFonts w:ascii="Arial" w:hAnsi="Arial" w:cs="Arial"/>
              </w:rPr>
              <w:t>Organisation</w:t>
            </w:r>
          </w:p>
        </w:tc>
        <w:tc>
          <w:tcPr>
            <w:tcW w:w="5637" w:type="dxa"/>
            <w:shd w:val="clear" w:color="auto" w:fill="D9D9D9" w:themeFill="background1" w:themeFillShade="D9"/>
          </w:tcPr>
          <w:p w14:paraId="2CBA35E9" w14:textId="77777777" w:rsidR="001E78F4" w:rsidRDefault="001E78F4" w:rsidP="00394925">
            <w:pPr>
              <w:spacing w:before="120" w:after="120"/>
              <w:rPr>
                <w:rFonts w:ascii="Arial" w:hAnsi="Arial" w:cs="Arial"/>
              </w:rPr>
            </w:pPr>
            <w:r>
              <w:rPr>
                <w:rFonts w:ascii="Arial" w:hAnsi="Arial" w:cs="Arial"/>
              </w:rPr>
              <w:t>Summary of comment</w:t>
            </w:r>
          </w:p>
        </w:tc>
        <w:tc>
          <w:tcPr>
            <w:tcW w:w="4820" w:type="dxa"/>
            <w:shd w:val="clear" w:color="auto" w:fill="D9D9D9" w:themeFill="background1" w:themeFillShade="D9"/>
          </w:tcPr>
          <w:p w14:paraId="2CBA35EA" w14:textId="77777777" w:rsidR="001E78F4" w:rsidRDefault="001E78F4" w:rsidP="00394925">
            <w:pPr>
              <w:spacing w:before="120" w:after="120"/>
              <w:rPr>
                <w:rFonts w:ascii="Arial" w:hAnsi="Arial" w:cs="Arial"/>
              </w:rPr>
            </w:pPr>
            <w:r>
              <w:rPr>
                <w:rFonts w:ascii="Arial" w:hAnsi="Arial" w:cs="Arial"/>
              </w:rPr>
              <w:t>AEMO’s Response</w:t>
            </w:r>
          </w:p>
        </w:tc>
      </w:tr>
      <w:tr w:rsidR="001E78F4" w14:paraId="2CBA35F3" w14:textId="77777777" w:rsidTr="005E7818">
        <w:tc>
          <w:tcPr>
            <w:tcW w:w="3005" w:type="dxa"/>
          </w:tcPr>
          <w:p w14:paraId="2CBA35EC" w14:textId="77777777" w:rsidR="001E78F4" w:rsidRDefault="001E78F4" w:rsidP="00394925">
            <w:pPr>
              <w:spacing w:before="120" w:after="120"/>
              <w:rPr>
                <w:rFonts w:ascii="Arial" w:hAnsi="Arial" w:cs="Arial"/>
              </w:rPr>
            </w:pPr>
            <w:r>
              <w:rPr>
                <w:rFonts w:ascii="Arial" w:hAnsi="Arial" w:cs="Arial"/>
              </w:rPr>
              <w:t>Energy Australia</w:t>
            </w:r>
          </w:p>
        </w:tc>
        <w:tc>
          <w:tcPr>
            <w:tcW w:w="5637" w:type="dxa"/>
          </w:tcPr>
          <w:p w14:paraId="2CBA35ED" w14:textId="77777777" w:rsidR="001E78F4" w:rsidRPr="001E78F4" w:rsidRDefault="001E78F4" w:rsidP="00394925">
            <w:pPr>
              <w:spacing w:before="120" w:after="120"/>
              <w:rPr>
                <w:rFonts w:ascii="Arial" w:hAnsi="Arial" w:cs="Arial"/>
              </w:rPr>
            </w:pPr>
            <w:r w:rsidRPr="001E78F4">
              <w:rPr>
                <w:rFonts w:ascii="Arial" w:hAnsi="Arial" w:cs="Arial"/>
              </w:rPr>
              <w:t>We support the proposed</w:t>
            </w:r>
            <w:r w:rsidR="00394925">
              <w:rPr>
                <w:rFonts w:ascii="Arial" w:hAnsi="Arial" w:cs="Arial"/>
              </w:rPr>
              <w:t xml:space="preserve"> </w:t>
            </w:r>
            <w:r w:rsidRPr="001E78F4">
              <w:rPr>
                <w:rFonts w:ascii="Arial" w:hAnsi="Arial" w:cs="Arial"/>
              </w:rPr>
              <w:t>initiative to reduce the Exchange Fees, however we also consider that further</w:t>
            </w:r>
            <w:r w:rsidR="00394925">
              <w:rPr>
                <w:rFonts w:ascii="Arial" w:hAnsi="Arial" w:cs="Arial"/>
              </w:rPr>
              <w:t xml:space="preserve"> </w:t>
            </w:r>
            <w:r w:rsidRPr="001E78F4">
              <w:rPr>
                <w:rFonts w:ascii="Arial" w:hAnsi="Arial" w:cs="Arial"/>
              </w:rPr>
              <w:t>amendments could be made to the proposed methodology.</w:t>
            </w:r>
          </w:p>
          <w:p w14:paraId="2CBA35EE" w14:textId="77777777" w:rsidR="001E78F4" w:rsidRDefault="001E78F4" w:rsidP="00394925">
            <w:pPr>
              <w:spacing w:before="120" w:after="120"/>
              <w:rPr>
                <w:rFonts w:ascii="Arial" w:hAnsi="Arial" w:cs="Arial"/>
              </w:rPr>
            </w:pPr>
            <w:r w:rsidRPr="001E78F4">
              <w:rPr>
                <w:rFonts w:ascii="Arial" w:hAnsi="Arial" w:cs="Arial"/>
              </w:rPr>
              <w:t>We would support the removal of the Viewing Participant Fee for Trading Participants,</w:t>
            </w:r>
            <w:r w:rsidR="00394925">
              <w:rPr>
                <w:rFonts w:ascii="Arial" w:hAnsi="Arial" w:cs="Arial"/>
              </w:rPr>
              <w:t xml:space="preserve"> </w:t>
            </w:r>
            <w:r w:rsidRPr="001E78F4">
              <w:rPr>
                <w:rFonts w:ascii="Arial" w:hAnsi="Arial" w:cs="Arial"/>
              </w:rPr>
              <w:t>should a Trading Participant seek an additional Viewing Participant license for the</w:t>
            </w:r>
            <w:r w:rsidR="00394925">
              <w:rPr>
                <w:rFonts w:ascii="Arial" w:hAnsi="Arial" w:cs="Arial"/>
              </w:rPr>
              <w:t xml:space="preserve"> </w:t>
            </w:r>
            <w:r w:rsidRPr="001E78F4">
              <w:rPr>
                <w:rFonts w:ascii="Arial" w:hAnsi="Arial" w:cs="Arial"/>
              </w:rPr>
              <w:t>purposes of setting up a GSH display. We consider that it would not result in any extra</w:t>
            </w:r>
            <w:r w:rsidR="00394925">
              <w:rPr>
                <w:rFonts w:ascii="Arial" w:hAnsi="Arial" w:cs="Arial"/>
              </w:rPr>
              <w:t xml:space="preserve"> </w:t>
            </w:r>
            <w:r w:rsidRPr="001E78F4">
              <w:rPr>
                <w:rFonts w:ascii="Arial" w:hAnsi="Arial" w:cs="Arial"/>
              </w:rPr>
              <w:t>overheads for AEMO for providing this service for Trading Participants.</w:t>
            </w:r>
          </w:p>
        </w:tc>
        <w:tc>
          <w:tcPr>
            <w:tcW w:w="4820" w:type="dxa"/>
          </w:tcPr>
          <w:p w14:paraId="2CBA35EF" w14:textId="51F8A01D" w:rsidR="001E78F4" w:rsidRDefault="00D85D33" w:rsidP="00394925">
            <w:pPr>
              <w:spacing w:before="120" w:after="120"/>
              <w:rPr>
                <w:rFonts w:ascii="Arial" w:hAnsi="Arial" w:cs="Arial"/>
              </w:rPr>
            </w:pPr>
            <w:r>
              <w:rPr>
                <w:rFonts w:ascii="Arial" w:hAnsi="Arial" w:cs="Arial"/>
              </w:rPr>
              <w:t>T</w:t>
            </w:r>
            <w:r w:rsidR="00ED435A">
              <w:rPr>
                <w:rFonts w:ascii="Arial" w:hAnsi="Arial" w:cs="Arial"/>
              </w:rPr>
              <w:t>he GSH trading platform is provided to AEMO by a third-party vendor (Trayport)</w:t>
            </w:r>
            <w:r>
              <w:rPr>
                <w:rFonts w:ascii="Arial" w:hAnsi="Arial" w:cs="Arial"/>
              </w:rPr>
              <w:t xml:space="preserve">. The cost </w:t>
            </w:r>
            <w:r w:rsidR="00BC3A12">
              <w:rPr>
                <w:rFonts w:ascii="Arial" w:hAnsi="Arial" w:cs="Arial"/>
              </w:rPr>
              <w:t xml:space="preserve">to </w:t>
            </w:r>
            <w:r w:rsidR="00ED435A">
              <w:rPr>
                <w:rFonts w:ascii="Arial" w:hAnsi="Arial" w:cs="Arial"/>
              </w:rPr>
              <w:t xml:space="preserve">AEMO </w:t>
            </w:r>
            <w:r w:rsidR="00BC3A12">
              <w:rPr>
                <w:rFonts w:ascii="Arial" w:hAnsi="Arial" w:cs="Arial"/>
              </w:rPr>
              <w:t xml:space="preserve">for operation of the trading platform </w:t>
            </w:r>
            <w:r>
              <w:rPr>
                <w:rFonts w:ascii="Arial" w:hAnsi="Arial" w:cs="Arial"/>
              </w:rPr>
              <w:t>i</w:t>
            </w:r>
            <w:r w:rsidR="00BC3A12">
              <w:rPr>
                <w:rFonts w:ascii="Arial" w:hAnsi="Arial" w:cs="Arial"/>
              </w:rPr>
              <w:t xml:space="preserve">s based on the number of </w:t>
            </w:r>
            <w:r>
              <w:rPr>
                <w:rFonts w:ascii="Arial" w:hAnsi="Arial" w:cs="Arial"/>
              </w:rPr>
              <w:t>licences</w:t>
            </w:r>
            <w:r w:rsidR="00ED435A">
              <w:rPr>
                <w:rFonts w:ascii="Arial" w:hAnsi="Arial" w:cs="Arial"/>
              </w:rPr>
              <w:t xml:space="preserve"> </w:t>
            </w:r>
            <w:r>
              <w:rPr>
                <w:rFonts w:ascii="Arial" w:hAnsi="Arial" w:cs="Arial"/>
              </w:rPr>
              <w:t xml:space="preserve">(both </w:t>
            </w:r>
            <w:r w:rsidR="00ED435A">
              <w:rPr>
                <w:rFonts w:ascii="Arial" w:hAnsi="Arial" w:cs="Arial"/>
              </w:rPr>
              <w:t xml:space="preserve">Viewing </w:t>
            </w:r>
            <w:r>
              <w:rPr>
                <w:rFonts w:ascii="Arial" w:hAnsi="Arial" w:cs="Arial"/>
              </w:rPr>
              <w:t xml:space="preserve">and Trading </w:t>
            </w:r>
            <w:r w:rsidR="00ED435A">
              <w:rPr>
                <w:rFonts w:ascii="Arial" w:hAnsi="Arial" w:cs="Arial"/>
              </w:rPr>
              <w:t>Participant licences</w:t>
            </w:r>
            <w:r>
              <w:rPr>
                <w:rFonts w:ascii="Arial" w:hAnsi="Arial" w:cs="Arial"/>
              </w:rPr>
              <w:t>)</w:t>
            </w:r>
            <w:r w:rsidR="00ED435A">
              <w:rPr>
                <w:rFonts w:ascii="Arial" w:hAnsi="Arial" w:cs="Arial"/>
              </w:rPr>
              <w:t xml:space="preserve">. </w:t>
            </w:r>
          </w:p>
          <w:p w14:paraId="2CBA35F0" w14:textId="2DCDB196" w:rsidR="00BC3A12" w:rsidRDefault="00DF7559" w:rsidP="00DF7559">
            <w:pPr>
              <w:spacing w:before="120" w:after="120"/>
              <w:rPr>
                <w:rFonts w:ascii="Arial" w:hAnsi="Arial" w:cs="Arial"/>
              </w:rPr>
            </w:pPr>
            <w:r>
              <w:rPr>
                <w:rFonts w:ascii="Arial" w:hAnsi="Arial" w:cs="Arial"/>
              </w:rPr>
              <w:t xml:space="preserve">AEMO is mindful of the potential impact of fees on participants and will aim to reduce fixed fees where there are further increases in traded volumes. </w:t>
            </w:r>
          </w:p>
          <w:p w14:paraId="2CBA35F1" w14:textId="77777777" w:rsidR="00DF7559" w:rsidRDefault="00DF7559" w:rsidP="00DF7559">
            <w:pPr>
              <w:spacing w:before="120" w:after="120"/>
              <w:rPr>
                <w:rFonts w:ascii="Arial" w:hAnsi="Arial" w:cs="Arial"/>
              </w:rPr>
            </w:pPr>
          </w:p>
          <w:p w14:paraId="2CBA35F2" w14:textId="77777777" w:rsidR="00DF7559" w:rsidRPr="00ED435A" w:rsidRDefault="00DF7559" w:rsidP="00DF7559">
            <w:pPr>
              <w:spacing w:before="120" w:after="120"/>
              <w:rPr>
                <w:rFonts w:ascii="Arial" w:hAnsi="Arial" w:cs="Arial"/>
              </w:rPr>
            </w:pPr>
          </w:p>
        </w:tc>
      </w:tr>
    </w:tbl>
    <w:p w14:paraId="2CBA35F4" w14:textId="77777777" w:rsidR="001E78F4" w:rsidRDefault="001E78F4" w:rsidP="00497536">
      <w:pPr>
        <w:rPr>
          <w:rFonts w:ascii="Arial" w:hAnsi="Arial" w:cs="Arial"/>
        </w:rPr>
      </w:pPr>
    </w:p>
    <w:p w14:paraId="2CBA35F5" w14:textId="77777777" w:rsidR="001E78F4" w:rsidRPr="00497536" w:rsidRDefault="001E78F4" w:rsidP="00497536">
      <w:pPr>
        <w:rPr>
          <w:rFonts w:ascii="Arial" w:hAnsi="Arial" w:cs="Arial"/>
        </w:rPr>
      </w:pPr>
    </w:p>
    <w:p w14:paraId="2CBA35F6" w14:textId="77777777" w:rsidR="00394925" w:rsidRDefault="00394925">
      <w:pPr>
        <w:rPr>
          <w:rFonts w:ascii="Arial" w:hAnsi="Arial" w:cs="Arial"/>
        </w:rPr>
        <w:sectPr w:rsidR="00394925" w:rsidSect="00394925">
          <w:pgSz w:w="16838" w:h="11906" w:orient="landscape"/>
          <w:pgMar w:top="1440" w:right="1440" w:bottom="1440" w:left="1440" w:header="708" w:footer="708" w:gutter="0"/>
          <w:cols w:space="708"/>
          <w:docGrid w:linePitch="360"/>
        </w:sectPr>
      </w:pPr>
    </w:p>
    <w:p w14:paraId="2CBA35F7" w14:textId="77777777" w:rsidR="00497536" w:rsidRPr="00497536" w:rsidRDefault="00497536">
      <w:pPr>
        <w:rPr>
          <w:rFonts w:ascii="Arial" w:hAnsi="Arial" w:cs="Arial"/>
        </w:rPr>
      </w:pPr>
    </w:p>
    <w:p w14:paraId="2CBA35F8" w14:textId="47229A5D" w:rsidR="00497536" w:rsidRDefault="001E78F4" w:rsidP="00497536">
      <w:pPr>
        <w:rPr>
          <w:rFonts w:ascii="Arial" w:hAnsi="Arial" w:cs="Arial"/>
          <w:b/>
          <w:szCs w:val="24"/>
        </w:rPr>
      </w:pPr>
      <w:r>
        <w:rPr>
          <w:rFonts w:ascii="Arial" w:hAnsi="Arial" w:cs="Arial"/>
          <w:b/>
          <w:szCs w:val="24"/>
        </w:rPr>
        <w:t>Attachment B</w:t>
      </w:r>
      <w:r w:rsidR="00497536">
        <w:rPr>
          <w:rFonts w:ascii="Arial" w:hAnsi="Arial" w:cs="Arial"/>
          <w:b/>
          <w:szCs w:val="24"/>
        </w:rPr>
        <w:t xml:space="preserve">: </w:t>
      </w:r>
      <w:r w:rsidR="00497536" w:rsidRPr="00497536">
        <w:rPr>
          <w:rFonts w:ascii="Arial" w:hAnsi="Arial" w:cs="Arial"/>
          <w:b/>
          <w:szCs w:val="24"/>
        </w:rPr>
        <w:t>Amendments to the Exchange</w:t>
      </w:r>
      <w:r w:rsidR="00497536">
        <w:rPr>
          <w:rFonts w:ascii="Arial" w:hAnsi="Arial" w:cs="Arial"/>
          <w:b/>
          <w:szCs w:val="24"/>
        </w:rPr>
        <w:t xml:space="preserve"> Agreement as set out in IIR </w:t>
      </w:r>
      <w:r w:rsidR="00213FFC" w:rsidRPr="00A51D56">
        <w:rPr>
          <w:rFonts w:ascii="Arial" w:hAnsi="Arial" w:cs="Arial"/>
          <w:b/>
          <w:szCs w:val="24"/>
        </w:rPr>
        <w:t>011</w:t>
      </w:r>
    </w:p>
    <w:p w14:paraId="2CBA35F9" w14:textId="77777777" w:rsidR="00497536" w:rsidRPr="00F527BB" w:rsidRDefault="00497536" w:rsidP="00497536">
      <w:pPr>
        <w:rPr>
          <w:rFonts w:ascii="Arial" w:hAnsi="Arial" w:cs="Arial"/>
          <w:b/>
          <w:szCs w:val="24"/>
        </w:rPr>
      </w:pPr>
      <w:r w:rsidRPr="00F527BB">
        <w:rPr>
          <w:rFonts w:ascii="Arial" w:hAnsi="Arial" w:cs="Arial"/>
          <w:b/>
          <w:szCs w:val="24"/>
        </w:rPr>
        <w:t>Documentation Changes</w:t>
      </w:r>
    </w:p>
    <w:p w14:paraId="2CBA35FA" w14:textId="77777777" w:rsidR="00497536" w:rsidRDefault="00497536" w:rsidP="00497536">
      <w:pPr>
        <w:rPr>
          <w:rFonts w:ascii="Arial" w:hAnsi="Arial" w:cs="Arial"/>
        </w:rPr>
      </w:pPr>
      <w:r w:rsidRPr="00B428BF">
        <w:rPr>
          <w:rFonts w:ascii="Arial" w:hAnsi="Arial" w:cs="Arial"/>
          <w:color w:val="5B9BD5"/>
        </w:rPr>
        <w:t xml:space="preserve">Blue </w:t>
      </w:r>
      <w:r>
        <w:rPr>
          <w:rFonts w:ascii="Arial" w:hAnsi="Arial" w:cs="Arial"/>
        </w:rPr>
        <w:t xml:space="preserve">represents additions. </w:t>
      </w:r>
      <w:r>
        <w:rPr>
          <w:rFonts w:ascii="Arial" w:hAnsi="Arial" w:cs="Arial"/>
          <w:color w:val="FF0000"/>
        </w:rPr>
        <w:t>Red</w:t>
      </w:r>
      <w:r>
        <w:rPr>
          <w:rFonts w:ascii="Arial" w:hAnsi="Arial" w:cs="Arial"/>
        </w:rPr>
        <w:t xml:space="preserve"> and strikeout represents deletions – Marked up changes.</w:t>
      </w:r>
    </w:p>
    <w:p w14:paraId="2CBA35FB" w14:textId="77777777" w:rsidR="00497536" w:rsidRDefault="00497536" w:rsidP="00497536">
      <w:pPr>
        <w:pStyle w:val="Heading1"/>
        <w:numPr>
          <w:ilvl w:val="0"/>
          <w:numId w:val="0"/>
        </w:numPr>
        <w:ind w:left="709" w:hanging="709"/>
      </w:pPr>
      <w:r>
        <w:t>1</w:t>
      </w:r>
      <w:r>
        <w:tab/>
      </w:r>
      <w:r w:rsidRPr="00B104C5">
        <w:t>Exchange Fees</w:t>
      </w:r>
    </w:p>
    <w:p w14:paraId="2CBA35FC" w14:textId="77777777" w:rsidR="00497536" w:rsidRDefault="00497536" w:rsidP="00497536">
      <w:pPr>
        <w:pStyle w:val="BlockText"/>
        <w:tabs>
          <w:tab w:val="num" w:pos="540"/>
        </w:tabs>
        <w:spacing w:after="240"/>
      </w:pPr>
      <w:r>
        <w:t>The fees set out below relate to Section 5.5 (Participation Fees) of the AEMO Gas Supply Hub Exchange Agreement.</w:t>
      </w:r>
    </w:p>
    <w:p w14:paraId="2CBA35FD" w14:textId="77777777" w:rsidR="00497536" w:rsidRDefault="00497536" w:rsidP="00497536">
      <w:pPr>
        <w:pStyle w:val="BlockText"/>
        <w:tabs>
          <w:tab w:val="num" w:pos="540"/>
        </w:tabs>
        <w:spacing w:after="240"/>
      </w:pPr>
      <w:r>
        <w:t>These fees are current as per the date of this document and can be amended by AEMO at any point in future.</w:t>
      </w:r>
      <w:r>
        <w:cr/>
      </w:r>
    </w:p>
    <w:tbl>
      <w:tblPr>
        <w:tblStyle w:val="TableGridLight"/>
        <w:tblW w:w="8306" w:type="dxa"/>
        <w:tblInd w:w="-5" w:type="dxa"/>
        <w:tblLook w:val="04A0" w:firstRow="1" w:lastRow="0" w:firstColumn="1" w:lastColumn="0" w:noHBand="0" w:noVBand="1"/>
      </w:tblPr>
      <w:tblGrid>
        <w:gridCol w:w="2768"/>
        <w:gridCol w:w="2769"/>
        <w:gridCol w:w="2769"/>
      </w:tblGrid>
      <w:tr w:rsidR="00497536" w14:paraId="2CBA3601" w14:textId="77777777" w:rsidTr="008C5F4A">
        <w:tc>
          <w:tcPr>
            <w:tcW w:w="2768" w:type="dxa"/>
            <w:vMerge w:val="restart"/>
          </w:tcPr>
          <w:p w14:paraId="2CBA35FE" w14:textId="77777777" w:rsidR="00497536" w:rsidRDefault="00497536" w:rsidP="008C5F4A">
            <w:pPr>
              <w:pStyle w:val="BlockText"/>
              <w:tabs>
                <w:tab w:val="num" w:pos="540"/>
              </w:tabs>
              <w:spacing w:after="240"/>
              <w:jc w:val="left"/>
            </w:pPr>
            <w:r w:rsidRPr="00B104C5">
              <w:t>Trading Participants</w:t>
            </w:r>
          </w:p>
        </w:tc>
        <w:tc>
          <w:tcPr>
            <w:tcW w:w="2769" w:type="dxa"/>
          </w:tcPr>
          <w:p w14:paraId="2CBA35FF" w14:textId="77777777" w:rsidR="00497536" w:rsidRDefault="00497536" w:rsidP="008C5F4A">
            <w:pPr>
              <w:pStyle w:val="BlockText"/>
              <w:tabs>
                <w:tab w:val="num" w:pos="540"/>
              </w:tabs>
              <w:spacing w:after="240"/>
              <w:jc w:val="left"/>
            </w:pPr>
            <w:r w:rsidRPr="001C56B3">
              <w:t xml:space="preserve">Fixed Fee </w:t>
            </w:r>
            <w:r w:rsidRPr="00181282">
              <w:rPr>
                <w:strike/>
                <w:color w:val="FF0000"/>
              </w:rPr>
              <w:t>– One</w:t>
            </w:r>
            <w:r>
              <w:t xml:space="preserve"> </w:t>
            </w:r>
            <w:r w:rsidRPr="001C56B3">
              <w:t>user</w:t>
            </w:r>
            <w:r>
              <w:t xml:space="preserve"> </w:t>
            </w:r>
            <w:r w:rsidRPr="00B104C5">
              <w:t>account licence</w:t>
            </w:r>
          </w:p>
        </w:tc>
        <w:tc>
          <w:tcPr>
            <w:tcW w:w="2769" w:type="dxa"/>
          </w:tcPr>
          <w:p w14:paraId="2CBA3600" w14:textId="77777777" w:rsidR="00497536" w:rsidRDefault="00497536" w:rsidP="008C5F4A">
            <w:pPr>
              <w:pStyle w:val="BlockText"/>
              <w:tabs>
                <w:tab w:val="num" w:pos="540"/>
              </w:tabs>
              <w:spacing w:after="240"/>
              <w:jc w:val="left"/>
            </w:pPr>
            <w:r w:rsidRPr="00B104C5">
              <w:t>$</w:t>
            </w:r>
            <w:r w:rsidRPr="00181282">
              <w:rPr>
                <w:strike/>
                <w:color w:val="FF0000"/>
              </w:rPr>
              <w:t>14,500</w:t>
            </w:r>
            <w:r w:rsidRPr="00181282">
              <w:rPr>
                <w:color w:val="FF0000"/>
              </w:rPr>
              <w:t xml:space="preserve"> </w:t>
            </w:r>
            <w:r w:rsidRPr="00181282">
              <w:rPr>
                <w:color w:val="5B9BD5" w:themeColor="accent1"/>
              </w:rPr>
              <w:t>12,000</w:t>
            </w:r>
            <w:r>
              <w:t xml:space="preserve"> </w:t>
            </w:r>
            <w:r w:rsidRPr="00B104C5">
              <w:t>p.a. licence fee</w:t>
            </w:r>
            <w:r w:rsidRPr="00181282">
              <w:rPr>
                <w:color w:val="5B9BD5" w:themeColor="accent1"/>
              </w:rPr>
              <w:t>**</w:t>
            </w:r>
          </w:p>
        </w:tc>
      </w:tr>
      <w:tr w:rsidR="00497536" w14:paraId="2CBA3605" w14:textId="77777777" w:rsidTr="008C5F4A">
        <w:tc>
          <w:tcPr>
            <w:tcW w:w="2768" w:type="dxa"/>
            <w:vMerge/>
          </w:tcPr>
          <w:p w14:paraId="2CBA3602" w14:textId="77777777" w:rsidR="00497536" w:rsidRDefault="00497536" w:rsidP="008C5F4A">
            <w:pPr>
              <w:pStyle w:val="BlockText"/>
              <w:tabs>
                <w:tab w:val="num" w:pos="540"/>
              </w:tabs>
              <w:spacing w:after="240"/>
              <w:jc w:val="left"/>
            </w:pPr>
          </w:p>
        </w:tc>
        <w:tc>
          <w:tcPr>
            <w:tcW w:w="2769" w:type="dxa"/>
          </w:tcPr>
          <w:p w14:paraId="2CBA3603" w14:textId="77777777" w:rsidR="00497536" w:rsidRPr="00181282" w:rsidRDefault="00497536" w:rsidP="008C5F4A">
            <w:pPr>
              <w:pStyle w:val="BlockText"/>
              <w:tabs>
                <w:tab w:val="num" w:pos="540"/>
              </w:tabs>
              <w:spacing w:after="240"/>
              <w:rPr>
                <w:strike/>
                <w:color w:val="FF0000"/>
              </w:rPr>
            </w:pPr>
            <w:r w:rsidRPr="00181282">
              <w:rPr>
                <w:strike/>
                <w:color w:val="FF0000"/>
              </w:rPr>
              <w:t>Fixed Fee – additional user account licences</w:t>
            </w:r>
          </w:p>
        </w:tc>
        <w:tc>
          <w:tcPr>
            <w:tcW w:w="2769" w:type="dxa"/>
          </w:tcPr>
          <w:p w14:paraId="2CBA3604" w14:textId="77777777" w:rsidR="00497536" w:rsidRPr="00181282" w:rsidRDefault="00497536" w:rsidP="008C5F4A">
            <w:pPr>
              <w:pStyle w:val="BlockText"/>
              <w:tabs>
                <w:tab w:val="num" w:pos="540"/>
              </w:tabs>
              <w:spacing w:after="240"/>
              <w:jc w:val="left"/>
              <w:rPr>
                <w:strike/>
                <w:color w:val="FF0000"/>
              </w:rPr>
            </w:pPr>
            <w:r w:rsidRPr="00181282">
              <w:rPr>
                <w:strike/>
                <w:color w:val="FF0000"/>
              </w:rPr>
              <w:t>$5,500 p.a. licence fee</w:t>
            </w:r>
          </w:p>
        </w:tc>
      </w:tr>
      <w:tr w:rsidR="00497536" w14:paraId="2CBA360B" w14:textId="77777777" w:rsidTr="008C5F4A">
        <w:tc>
          <w:tcPr>
            <w:tcW w:w="2768" w:type="dxa"/>
            <w:vMerge/>
          </w:tcPr>
          <w:p w14:paraId="2CBA3606" w14:textId="77777777" w:rsidR="00497536" w:rsidRDefault="00497536" w:rsidP="008C5F4A">
            <w:pPr>
              <w:pStyle w:val="BlockText"/>
              <w:tabs>
                <w:tab w:val="num" w:pos="540"/>
              </w:tabs>
              <w:spacing w:after="240"/>
              <w:jc w:val="left"/>
            </w:pPr>
          </w:p>
        </w:tc>
        <w:tc>
          <w:tcPr>
            <w:tcW w:w="2769" w:type="dxa"/>
          </w:tcPr>
          <w:p w14:paraId="2CBA3607" w14:textId="77777777" w:rsidR="00497536" w:rsidRDefault="00497536" w:rsidP="008C5F4A">
            <w:pPr>
              <w:pStyle w:val="BlockText"/>
              <w:tabs>
                <w:tab w:val="num" w:pos="540"/>
              </w:tabs>
              <w:spacing w:after="240"/>
              <w:jc w:val="left"/>
            </w:pPr>
            <w:r w:rsidRPr="00B104C5">
              <w:t>Variable Transaction Fee*</w:t>
            </w:r>
          </w:p>
        </w:tc>
        <w:tc>
          <w:tcPr>
            <w:tcW w:w="2769" w:type="dxa"/>
          </w:tcPr>
          <w:p w14:paraId="2CBA3608" w14:textId="77777777" w:rsidR="00497536" w:rsidRDefault="00497536" w:rsidP="008C5F4A">
            <w:pPr>
              <w:pStyle w:val="BlockText"/>
              <w:tabs>
                <w:tab w:val="num" w:pos="540"/>
              </w:tabs>
              <w:spacing w:after="240"/>
            </w:pPr>
            <w:r>
              <w:t>$0.03/GJ daily product fee;</w:t>
            </w:r>
          </w:p>
          <w:p w14:paraId="2CBA3609" w14:textId="77777777" w:rsidR="00497536" w:rsidRDefault="00497536" w:rsidP="008C5F4A">
            <w:pPr>
              <w:pStyle w:val="BlockText"/>
              <w:tabs>
                <w:tab w:val="num" w:pos="540"/>
              </w:tabs>
              <w:spacing w:after="240"/>
            </w:pPr>
            <w:r>
              <w:t>$0.02/GJ weekly product fee;</w:t>
            </w:r>
          </w:p>
          <w:p w14:paraId="2CBA360A" w14:textId="77777777" w:rsidR="00497536" w:rsidRDefault="00497536" w:rsidP="008C5F4A">
            <w:pPr>
              <w:pStyle w:val="BlockText"/>
              <w:tabs>
                <w:tab w:val="num" w:pos="540"/>
              </w:tabs>
              <w:spacing w:after="240"/>
            </w:pPr>
            <w:r>
              <w:t>$0.01/GJ monthly product fee</w:t>
            </w:r>
          </w:p>
        </w:tc>
      </w:tr>
      <w:tr w:rsidR="00497536" w14:paraId="2CBA360F" w14:textId="77777777" w:rsidTr="008C5F4A">
        <w:tc>
          <w:tcPr>
            <w:tcW w:w="2768" w:type="dxa"/>
          </w:tcPr>
          <w:p w14:paraId="2CBA360C" w14:textId="77777777" w:rsidR="00497536" w:rsidRDefault="00497536" w:rsidP="008C5F4A">
            <w:pPr>
              <w:pStyle w:val="BlockText"/>
              <w:tabs>
                <w:tab w:val="num" w:pos="540"/>
              </w:tabs>
              <w:spacing w:after="240"/>
              <w:jc w:val="left"/>
            </w:pPr>
            <w:r w:rsidRPr="00B104C5">
              <w:t>Reallocation Participants</w:t>
            </w:r>
          </w:p>
        </w:tc>
        <w:tc>
          <w:tcPr>
            <w:tcW w:w="2769" w:type="dxa"/>
          </w:tcPr>
          <w:p w14:paraId="2CBA360D" w14:textId="77777777" w:rsidR="00497536" w:rsidRDefault="00497536" w:rsidP="008C5F4A">
            <w:pPr>
              <w:pStyle w:val="BlockText"/>
              <w:tabs>
                <w:tab w:val="num" w:pos="540"/>
              </w:tabs>
              <w:spacing w:after="240"/>
              <w:jc w:val="left"/>
            </w:pPr>
            <w:r w:rsidRPr="00712148">
              <w:t>Fixed Fee</w:t>
            </w:r>
          </w:p>
        </w:tc>
        <w:tc>
          <w:tcPr>
            <w:tcW w:w="2769" w:type="dxa"/>
          </w:tcPr>
          <w:p w14:paraId="2CBA360E" w14:textId="77777777" w:rsidR="00497536" w:rsidRDefault="00497536" w:rsidP="008C5F4A">
            <w:pPr>
              <w:pStyle w:val="BlockText"/>
              <w:tabs>
                <w:tab w:val="num" w:pos="540"/>
              </w:tabs>
              <w:spacing w:after="240"/>
              <w:jc w:val="left"/>
            </w:pPr>
            <w:r w:rsidRPr="00B104C5">
              <w:t>$9,000 p.a.</w:t>
            </w:r>
          </w:p>
        </w:tc>
      </w:tr>
      <w:tr w:rsidR="00497536" w14:paraId="2CBA3613" w14:textId="77777777" w:rsidTr="008C5F4A">
        <w:tc>
          <w:tcPr>
            <w:tcW w:w="2768" w:type="dxa"/>
          </w:tcPr>
          <w:p w14:paraId="2CBA3610" w14:textId="77777777" w:rsidR="00497536" w:rsidRDefault="00497536" w:rsidP="008C5F4A">
            <w:pPr>
              <w:pStyle w:val="BlockText"/>
              <w:tabs>
                <w:tab w:val="num" w:pos="540"/>
              </w:tabs>
              <w:spacing w:after="240"/>
              <w:jc w:val="left"/>
            </w:pPr>
            <w:r w:rsidRPr="00B104C5">
              <w:t>Viewing Participants</w:t>
            </w:r>
          </w:p>
        </w:tc>
        <w:tc>
          <w:tcPr>
            <w:tcW w:w="2769" w:type="dxa"/>
          </w:tcPr>
          <w:p w14:paraId="2CBA3611" w14:textId="77777777" w:rsidR="00497536" w:rsidRDefault="00497536" w:rsidP="008C5F4A">
            <w:pPr>
              <w:pStyle w:val="BlockText"/>
              <w:tabs>
                <w:tab w:val="num" w:pos="540"/>
              </w:tabs>
              <w:spacing w:after="240"/>
              <w:jc w:val="left"/>
            </w:pPr>
            <w:r w:rsidRPr="00712148">
              <w:t>Fixed Fee</w:t>
            </w:r>
          </w:p>
        </w:tc>
        <w:tc>
          <w:tcPr>
            <w:tcW w:w="2769" w:type="dxa"/>
          </w:tcPr>
          <w:p w14:paraId="2CBA3612" w14:textId="77777777" w:rsidR="00497536" w:rsidRDefault="00497536" w:rsidP="008C5F4A">
            <w:pPr>
              <w:pStyle w:val="BlockText"/>
              <w:tabs>
                <w:tab w:val="num" w:pos="540"/>
              </w:tabs>
              <w:spacing w:after="240"/>
              <w:jc w:val="left"/>
            </w:pPr>
            <w:r w:rsidRPr="00B104C5">
              <w:t>$</w:t>
            </w:r>
            <w:r w:rsidRPr="00181282">
              <w:rPr>
                <w:strike/>
                <w:color w:val="FF0000"/>
              </w:rPr>
              <w:t>5,500</w:t>
            </w:r>
            <w:r w:rsidRPr="00B104C5">
              <w:t xml:space="preserve"> </w:t>
            </w:r>
            <w:r>
              <w:rPr>
                <w:color w:val="5B9BD5" w:themeColor="accent1"/>
              </w:rPr>
              <w:t>3</w:t>
            </w:r>
            <w:r w:rsidRPr="00181282">
              <w:rPr>
                <w:color w:val="5B9BD5" w:themeColor="accent1"/>
              </w:rPr>
              <w:t>,</w:t>
            </w:r>
            <w:r>
              <w:rPr>
                <w:color w:val="5B9BD5" w:themeColor="accent1"/>
              </w:rPr>
              <w:t>6</w:t>
            </w:r>
            <w:r w:rsidRPr="00181282">
              <w:rPr>
                <w:color w:val="5B9BD5" w:themeColor="accent1"/>
              </w:rPr>
              <w:t>00</w:t>
            </w:r>
            <w:r>
              <w:t xml:space="preserve"> </w:t>
            </w:r>
            <w:r w:rsidRPr="00B104C5">
              <w:t>p.a. licence fee</w:t>
            </w:r>
          </w:p>
        </w:tc>
      </w:tr>
    </w:tbl>
    <w:p w14:paraId="2CBA3614" w14:textId="77777777" w:rsidR="00497536" w:rsidRDefault="00497536" w:rsidP="00497536">
      <w:pPr>
        <w:pStyle w:val="BlockText"/>
        <w:tabs>
          <w:tab w:val="num" w:pos="540"/>
        </w:tabs>
        <w:spacing w:after="240"/>
        <w:jc w:val="left"/>
      </w:pPr>
    </w:p>
    <w:p w14:paraId="2CBA3615" w14:textId="77777777" w:rsidR="00497536" w:rsidRDefault="00497536" w:rsidP="00497536">
      <w:pPr>
        <w:pStyle w:val="BlockText"/>
        <w:spacing w:after="240"/>
      </w:pPr>
      <w:r>
        <w:t>* Explanatory note: the Variable Transaction Fee in relation to the matching of orders in a Spread Product is payable on each Moomba and Wallumbilla transaction.</w:t>
      </w:r>
    </w:p>
    <w:p w14:paraId="2CBA3616" w14:textId="77777777" w:rsidR="00497536" w:rsidRPr="00181282" w:rsidRDefault="00497536" w:rsidP="00497536">
      <w:pPr>
        <w:pStyle w:val="BlockText"/>
        <w:tabs>
          <w:tab w:val="num" w:pos="540"/>
        </w:tabs>
        <w:spacing w:after="240"/>
        <w:jc w:val="left"/>
        <w:rPr>
          <w:color w:val="5B9BD5" w:themeColor="accent1"/>
        </w:rPr>
      </w:pPr>
      <w:r w:rsidRPr="00181282">
        <w:rPr>
          <w:color w:val="5B9BD5" w:themeColor="accent1"/>
        </w:rPr>
        <w:t xml:space="preserve">** Fixed Fee rebate – </w:t>
      </w:r>
      <w:r w:rsidRPr="009E3BD4">
        <w:rPr>
          <w:color w:val="5B9BD5" w:themeColor="accent1"/>
        </w:rPr>
        <w:t xml:space="preserve">If the amount of Variable Transaction Fees in a Trading Participant’s Final Statement for a billing period is $7,000 (exclusive of GST) or more the Trading Participant will receive a refund from AEMO in the same Final Statement equal to the Trading Participants total Trading Participant Fixed fees in that Final Statement.  The refund does not apply to Reallocation Participant Fixed fees or Viewing Participant fees. </w:t>
      </w:r>
    </w:p>
    <w:p w14:paraId="2CBA3617" w14:textId="77777777" w:rsidR="00785D0D" w:rsidRDefault="00785D0D"/>
    <w:sectPr w:rsidR="00785D0D" w:rsidSect="00394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1479"/>
    <w:multiLevelType w:val="multilevel"/>
    <w:tmpl w:val="36DCF50C"/>
    <w:lvl w:ilvl="0">
      <w:start w:val="1"/>
      <w:numFmt w:val="decimal"/>
      <w:pStyle w:val="Heading1"/>
      <w:lvlText w:val="%1"/>
      <w:lvlJc w:val="left"/>
      <w:pPr>
        <w:tabs>
          <w:tab w:val="num" w:pos="737"/>
        </w:tabs>
        <w:ind w:left="737" w:hanging="737"/>
      </w:pPr>
      <w:rPr>
        <w:rFonts w:ascii="Arial Bold" w:hAnsi="Arial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79"/>
        </w:tabs>
        <w:ind w:left="879" w:hanging="737"/>
      </w:pPr>
      <w:rPr>
        <w:rFonts w:ascii="Arial Bold" w:hAnsi="Arial Bold" w:hint="default"/>
        <w:b/>
        <w:i w:val="0"/>
        <w:color w:val="1E4164"/>
        <w:sz w:val="24"/>
        <w:em w:val="none"/>
      </w:rPr>
    </w:lvl>
    <w:lvl w:ilvl="2">
      <w:start w:val="1"/>
      <w:numFmt w:val="decimal"/>
      <w:pStyle w:val="Heading3"/>
      <w:lvlText w:val="%1.%2.%3"/>
      <w:lvlJc w:val="left"/>
      <w:pPr>
        <w:tabs>
          <w:tab w:val="num" w:pos="568"/>
        </w:tabs>
        <w:ind w:left="1305" w:hanging="737"/>
      </w:pPr>
      <w:rPr>
        <w:rFonts w:ascii="Arial Bold" w:hAnsi="Arial Bold" w:hint="default"/>
        <w:b/>
        <w:i w:val="0"/>
        <w:sz w:val="22"/>
        <w:szCs w:val="22"/>
      </w:rPr>
    </w:lvl>
    <w:lvl w:ilvl="3">
      <w:start w:val="1"/>
      <w:numFmt w:val="lowerLetter"/>
      <w:pStyle w:val="Heading4"/>
      <w:lvlText w:val="(%4)"/>
      <w:lvlJc w:val="left"/>
      <w:pPr>
        <w:tabs>
          <w:tab w:val="num" w:pos="1588"/>
        </w:tabs>
        <w:ind w:left="1588"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4849"/>
        </w:tabs>
        <w:ind w:left="4849"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7"/>
      <w:lvlText w:val="(%6)"/>
      <w:lvlJc w:val="left"/>
      <w:pPr>
        <w:tabs>
          <w:tab w:val="num" w:pos="2948"/>
        </w:tabs>
        <w:ind w:left="2948" w:hanging="73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0D"/>
    <w:rsid w:val="00084D1A"/>
    <w:rsid w:val="000F4E38"/>
    <w:rsid w:val="001E78F4"/>
    <w:rsid w:val="00213FFC"/>
    <w:rsid w:val="00334542"/>
    <w:rsid w:val="00394925"/>
    <w:rsid w:val="00497536"/>
    <w:rsid w:val="005313B0"/>
    <w:rsid w:val="005E38CB"/>
    <w:rsid w:val="005E7818"/>
    <w:rsid w:val="007247C9"/>
    <w:rsid w:val="00785D0D"/>
    <w:rsid w:val="00791CFF"/>
    <w:rsid w:val="007A0134"/>
    <w:rsid w:val="00A51D56"/>
    <w:rsid w:val="00B51A94"/>
    <w:rsid w:val="00BC3A12"/>
    <w:rsid w:val="00D85D33"/>
    <w:rsid w:val="00DE36BB"/>
    <w:rsid w:val="00DF7559"/>
    <w:rsid w:val="00ED435A"/>
    <w:rsid w:val="00EE0A2E"/>
    <w:rsid w:val="00F61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35DE"/>
  <w15:chartTrackingRefBased/>
  <w15:docId w15:val="{259B03D2-DA5A-459A-BA26-5AA5261E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7536"/>
    <w:pPr>
      <w:keepNext/>
      <w:numPr>
        <w:numId w:val="1"/>
      </w:numPr>
      <w:tabs>
        <w:tab w:val="clear" w:pos="737"/>
        <w:tab w:val="num" w:pos="709"/>
      </w:tabs>
      <w:spacing w:after="360" w:line="240" w:lineRule="auto"/>
      <w:ind w:left="709" w:hanging="709"/>
      <w:outlineLvl w:val="0"/>
    </w:pPr>
    <w:rPr>
      <w:rFonts w:ascii="Arial" w:eastAsia="Times New Roman" w:hAnsi="Arial" w:cs="Arial"/>
      <w:b/>
      <w:color w:val="1E4164"/>
      <w:sz w:val="24"/>
      <w:szCs w:val="20"/>
    </w:rPr>
  </w:style>
  <w:style w:type="paragraph" w:styleId="Heading2">
    <w:name w:val="heading 2"/>
    <w:basedOn w:val="Normal"/>
    <w:next w:val="Normal"/>
    <w:link w:val="Heading2Char"/>
    <w:qFormat/>
    <w:rsid w:val="00497536"/>
    <w:pPr>
      <w:keepNext/>
      <w:numPr>
        <w:ilvl w:val="1"/>
        <w:numId w:val="1"/>
      </w:numPr>
      <w:tabs>
        <w:tab w:val="num" w:pos="709"/>
      </w:tabs>
      <w:spacing w:after="240" w:line="240" w:lineRule="auto"/>
      <w:ind w:left="709" w:hanging="709"/>
      <w:outlineLvl w:val="1"/>
    </w:pPr>
    <w:rPr>
      <w:rFonts w:ascii="Arial" w:eastAsia="Times New Roman" w:hAnsi="Arial" w:cs="Arial"/>
      <w:b/>
      <w:color w:val="1E4164"/>
      <w:sz w:val="24"/>
      <w:szCs w:val="20"/>
    </w:rPr>
  </w:style>
  <w:style w:type="paragraph" w:styleId="Heading3">
    <w:name w:val="heading 3"/>
    <w:basedOn w:val="Normal"/>
    <w:link w:val="Heading3Char"/>
    <w:qFormat/>
    <w:rsid w:val="00497536"/>
    <w:pPr>
      <w:keepNext/>
      <w:numPr>
        <w:ilvl w:val="2"/>
        <w:numId w:val="1"/>
      </w:numPr>
      <w:spacing w:after="240" w:line="240" w:lineRule="auto"/>
      <w:ind w:left="851" w:hanging="709"/>
      <w:outlineLvl w:val="2"/>
    </w:pPr>
    <w:rPr>
      <w:rFonts w:ascii="Arial" w:eastAsia="Times New Roman" w:hAnsi="Arial" w:cs="Arial"/>
      <w:b/>
      <w:color w:val="1E4164"/>
    </w:rPr>
  </w:style>
  <w:style w:type="paragraph" w:styleId="Heading4">
    <w:name w:val="heading 4"/>
    <w:basedOn w:val="Normal"/>
    <w:link w:val="Heading4Char"/>
    <w:qFormat/>
    <w:rsid w:val="00497536"/>
    <w:pPr>
      <w:numPr>
        <w:ilvl w:val="3"/>
        <w:numId w:val="1"/>
      </w:numPr>
      <w:tabs>
        <w:tab w:val="num" w:pos="1418"/>
      </w:tabs>
      <w:spacing w:after="180" w:line="280" w:lineRule="exact"/>
      <w:ind w:left="1447" w:hanging="738"/>
      <w:outlineLvl w:val="3"/>
    </w:pPr>
    <w:rPr>
      <w:rFonts w:ascii="Arial" w:eastAsia="Times New Roman" w:hAnsi="Arial" w:cs="Arial"/>
    </w:rPr>
  </w:style>
  <w:style w:type="paragraph" w:styleId="Heading5">
    <w:name w:val="heading 5"/>
    <w:basedOn w:val="Normal"/>
    <w:link w:val="Heading5Char"/>
    <w:qFormat/>
    <w:rsid w:val="00497536"/>
    <w:pPr>
      <w:numPr>
        <w:ilvl w:val="4"/>
        <w:numId w:val="1"/>
      </w:numPr>
      <w:tabs>
        <w:tab w:val="num" w:pos="1843"/>
      </w:tabs>
      <w:spacing w:after="180" w:line="280" w:lineRule="exact"/>
      <w:ind w:left="1843" w:hanging="425"/>
      <w:outlineLvl w:val="4"/>
    </w:pPr>
    <w:rPr>
      <w:rFonts w:ascii="Arial" w:eastAsia="Times New Roman" w:hAnsi="Arial" w:cs="Arial"/>
    </w:rPr>
  </w:style>
  <w:style w:type="paragraph" w:styleId="Heading7">
    <w:name w:val="heading 7"/>
    <w:basedOn w:val="Heading5"/>
    <w:next w:val="Normal"/>
    <w:link w:val="Heading7Char"/>
    <w:qFormat/>
    <w:rsid w:val="00497536"/>
    <w:pPr>
      <w:numPr>
        <w:ilvl w:val="5"/>
      </w:numPr>
      <w:tabs>
        <w:tab w:val="clear" w:pos="2948"/>
        <w:tab w:val="num" w:pos="2410"/>
      </w:tabs>
      <w:ind w:left="2410" w:hanging="567"/>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D0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97536"/>
    <w:rPr>
      <w:rFonts w:ascii="Arial" w:eastAsia="Times New Roman" w:hAnsi="Arial" w:cs="Arial"/>
      <w:b/>
      <w:color w:val="1E4164"/>
      <w:sz w:val="24"/>
      <w:szCs w:val="20"/>
    </w:rPr>
  </w:style>
  <w:style w:type="character" w:customStyle="1" w:styleId="Heading2Char">
    <w:name w:val="Heading 2 Char"/>
    <w:basedOn w:val="DefaultParagraphFont"/>
    <w:link w:val="Heading2"/>
    <w:rsid w:val="00497536"/>
    <w:rPr>
      <w:rFonts w:ascii="Arial" w:eastAsia="Times New Roman" w:hAnsi="Arial" w:cs="Arial"/>
      <w:b/>
      <w:color w:val="1E4164"/>
      <w:sz w:val="24"/>
      <w:szCs w:val="20"/>
    </w:rPr>
  </w:style>
  <w:style w:type="character" w:customStyle="1" w:styleId="Heading3Char">
    <w:name w:val="Heading 3 Char"/>
    <w:basedOn w:val="DefaultParagraphFont"/>
    <w:link w:val="Heading3"/>
    <w:rsid w:val="00497536"/>
    <w:rPr>
      <w:rFonts w:ascii="Arial" w:eastAsia="Times New Roman" w:hAnsi="Arial" w:cs="Arial"/>
      <w:b/>
      <w:color w:val="1E4164"/>
    </w:rPr>
  </w:style>
  <w:style w:type="character" w:customStyle="1" w:styleId="Heading4Char">
    <w:name w:val="Heading 4 Char"/>
    <w:basedOn w:val="DefaultParagraphFont"/>
    <w:link w:val="Heading4"/>
    <w:rsid w:val="00497536"/>
    <w:rPr>
      <w:rFonts w:ascii="Arial" w:eastAsia="Times New Roman" w:hAnsi="Arial" w:cs="Arial"/>
    </w:rPr>
  </w:style>
  <w:style w:type="character" w:customStyle="1" w:styleId="Heading5Char">
    <w:name w:val="Heading 5 Char"/>
    <w:basedOn w:val="DefaultParagraphFont"/>
    <w:link w:val="Heading5"/>
    <w:rsid w:val="00497536"/>
    <w:rPr>
      <w:rFonts w:ascii="Arial" w:eastAsia="Times New Roman" w:hAnsi="Arial" w:cs="Arial"/>
    </w:rPr>
  </w:style>
  <w:style w:type="character" w:customStyle="1" w:styleId="Heading7Char">
    <w:name w:val="Heading 7 Char"/>
    <w:basedOn w:val="DefaultParagraphFont"/>
    <w:link w:val="Heading7"/>
    <w:rsid w:val="00497536"/>
    <w:rPr>
      <w:rFonts w:ascii="Arial" w:eastAsia="Times New Roman" w:hAnsi="Arial" w:cs="Arial"/>
    </w:rPr>
  </w:style>
  <w:style w:type="paragraph" w:styleId="BlockText">
    <w:name w:val="Block Text"/>
    <w:basedOn w:val="Normal"/>
    <w:rsid w:val="00497536"/>
    <w:pPr>
      <w:spacing w:after="120" w:line="240" w:lineRule="auto"/>
      <w:jc w:val="both"/>
    </w:pPr>
    <w:rPr>
      <w:rFonts w:ascii="Arial" w:eastAsia="Times New Roman" w:hAnsi="Arial" w:cs="Times New Roman"/>
      <w:sz w:val="20"/>
      <w:szCs w:val="20"/>
      <w:lang w:val="en-US"/>
    </w:rPr>
  </w:style>
  <w:style w:type="table" w:styleId="TableGridLight">
    <w:name w:val="Grid Table Light"/>
    <w:basedOn w:val="TableNormal"/>
    <w:uiPriority w:val="40"/>
    <w:rsid w:val="00497536"/>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E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101F1702F079684680F04B548613E516" ma:contentTypeVersion="21" ma:contentTypeDescription="" ma:contentTypeScope="" ma:versionID="7afc4b9cbfae50f89affc162b4d4871d">
  <xsd:schema xmlns:xsd="http://www.w3.org/2001/XMLSchema" xmlns:xs="http://www.w3.org/2001/XMLSchema" xmlns:p="http://schemas.microsoft.com/office/2006/metadata/properties" xmlns:ns2="a14523ce-dede-483e-883a-2d83261080bd" targetNamespace="http://schemas.microsoft.com/office/2006/metadata/properties" ma:root="true" ma:fieldsID="348af3fc4dfa20eb11a9a7465cd2de2e"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Roy Kaplan</DisplayName>
        <AccountId>129</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MARKETS-19-981</_dlc_DocId>
    <_dlc_DocIdUrl xmlns="a14523ce-dede-483e-883a-2d83261080bd">
      <Url>http://sharedocs/sites/markets/me/_layouts/15/DocIdRedir.aspx?ID=MARKETS-19-981</Url>
      <Description>MARKETS-19-981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9CF3-8F94-4399-A29C-CBD62FFDD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2F905-83BD-4B42-9F8F-AA82F08E1D6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9B1DA45-9E01-4162-8C34-1D9BE6894AB0}">
  <ds:schemaRefs>
    <ds:schemaRef ds:uri="http://schemas.microsoft.com/sharepoint/v3/contenttype/forms"/>
  </ds:schemaRefs>
</ds:datastoreItem>
</file>

<file path=customXml/itemProps4.xml><?xml version="1.0" encoding="utf-8"?>
<ds:datastoreItem xmlns:ds="http://schemas.openxmlformats.org/officeDocument/2006/customXml" ds:itemID="{40C2B508-8007-40A9-A4D0-B8729E769D1B}">
  <ds:schemaRefs>
    <ds:schemaRef ds:uri="http://schemas.microsoft.com/sharepoint/events"/>
  </ds:schemaRefs>
</ds:datastoreItem>
</file>

<file path=customXml/itemProps5.xml><?xml version="1.0" encoding="utf-8"?>
<ds:datastoreItem xmlns:ds="http://schemas.openxmlformats.org/officeDocument/2006/customXml" ds:itemID="{F5BCF2A8-66D7-42F2-987A-C6738F27C57D}">
  <ds:schemaRefs>
    <ds:schemaRef ds:uri="http://schemas.microsoft.com/office/2006/metadata/customXsn"/>
  </ds:schemaRefs>
</ds:datastoreItem>
</file>

<file path=customXml/itemProps6.xml><?xml version="1.0" encoding="utf-8"?>
<ds:datastoreItem xmlns:ds="http://schemas.openxmlformats.org/officeDocument/2006/customXml" ds:itemID="{9DA079AF-B77F-4949-ADBC-97F7D65B5E9E}">
  <ds:schemaRefs>
    <ds:schemaRef ds:uri="Microsoft.SharePoint.Taxonomy.ContentTypeSync"/>
  </ds:schemaRefs>
</ds:datastoreItem>
</file>

<file path=customXml/itemProps7.xml><?xml version="1.0" encoding="utf-8"?>
<ds:datastoreItem xmlns:ds="http://schemas.openxmlformats.org/officeDocument/2006/customXml" ds:itemID="{49BF25C7-E150-4B4B-9E7C-CAE64367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Kaplan</dc:creator>
  <cp:keywords/>
  <dc:description/>
  <cp:lastModifiedBy>Felicity Bodger</cp:lastModifiedBy>
  <cp:revision>2</cp:revision>
  <dcterms:created xsi:type="dcterms:W3CDTF">2017-10-19T01:10:00Z</dcterms:created>
  <dcterms:modified xsi:type="dcterms:W3CDTF">2017-10-19T01:10:00Z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0x0101009BE89D58CAF0934CA32A20BCFFD353DC00101F1702F079684680F04B548613E516</vt:lpwstr>
  </property>
  <property fmtid="{D5CDD505-2E9C-101B-9397-08002B2CF9AE}" pid="3" name="_dlc_DocIdItemGuid">
    <vt:lpwstr>23f8ea45-99eb-4645-b355-087fa43da5c6</vt:lpwstr>
  </property>
  <property fmtid="{D5CDD505-2E9C-101B-9397-08002B2CF9AE}" pid="4" name="AEMODocumentType">
    <vt:lpwstr>1;#Operational Record|859762f2-4462-42eb-9744-c955c7e2c540</vt:lpwstr>
  </property>
  <property fmtid="{D5CDD505-2E9C-101B-9397-08002B2CF9AE}" pid="5" name="AEMOKeywords">
    <vt:lpwstr/>
  </property>
</Properties>
</file>