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4"/>
      </w:tblGrid>
      <w:tr w:rsidR="003073A3" w14:paraId="3FCC0173" w14:textId="77777777" w:rsidTr="00596E73">
        <w:trPr>
          <w:trHeight w:val="3574"/>
        </w:trPr>
        <w:tc>
          <w:tcPr>
            <w:tcW w:w="9184" w:type="dxa"/>
            <w:vAlign w:val="bottom"/>
            <w:hideMark/>
          </w:tcPr>
          <w:p w14:paraId="213C5323" w14:textId="39CE9F7B" w:rsidR="00854129" w:rsidRDefault="00854129" w:rsidP="00854129">
            <w:pPr>
              <w:spacing w:after="0" w:line="259" w:lineRule="auto"/>
              <w:ind w:left="-5"/>
            </w:pPr>
            <w:r>
              <w:rPr>
                <w:color w:val="194164"/>
                <w:sz w:val="60"/>
              </w:rPr>
              <w:t xml:space="preserve"> </w:t>
            </w:r>
          </w:p>
          <w:p w14:paraId="1E01A2B7" w14:textId="3C2A5DED" w:rsidR="00714DD5" w:rsidRDefault="00743ED3" w:rsidP="00743ED3">
            <w:pPr>
              <w:pStyle w:val="Title"/>
              <w:rPr>
                <w:sz w:val="20"/>
                <w:szCs w:val="20"/>
              </w:rPr>
            </w:pPr>
            <w:r w:rsidRPr="00743ED3">
              <w:rPr>
                <w:color w:val="194164"/>
              </w:rPr>
              <w:t xml:space="preserve">WHOLESALE MARKET UPLIFT </w:t>
            </w:r>
            <w:r w:rsidR="000954C4">
              <w:rPr>
                <w:color w:val="194164"/>
              </w:rPr>
              <w:t>P</w:t>
            </w:r>
            <w:r>
              <w:rPr>
                <w:color w:val="194164"/>
              </w:rPr>
              <w:t>AYMENT PROCEDURES (</w:t>
            </w:r>
            <w:r w:rsidR="00854129">
              <w:rPr>
                <w:color w:val="194164"/>
              </w:rPr>
              <w:t>VICTORI</w:t>
            </w:r>
            <w:r>
              <w:rPr>
                <w:color w:val="194164"/>
              </w:rPr>
              <w:t>A)</w:t>
            </w:r>
          </w:p>
        </w:tc>
      </w:tr>
      <w:tr w:rsidR="00342109" w14:paraId="5ED20C4D" w14:textId="77777777" w:rsidTr="00596E73">
        <w:trPr>
          <w:trHeight w:val="437"/>
        </w:trPr>
        <w:tc>
          <w:tcPr>
            <w:tcW w:w="9184" w:type="dxa"/>
          </w:tcPr>
          <w:p w14:paraId="106070BF" w14:textId="77777777" w:rsidR="00714DD5" w:rsidRDefault="00714DD5" w:rsidP="004C5114">
            <w:pPr>
              <w:pStyle w:val="BodyText"/>
            </w:pPr>
          </w:p>
        </w:tc>
      </w:tr>
    </w:tbl>
    <w:p w14:paraId="3B2ED9AA" w14:textId="77777777" w:rsidR="00B109A1" w:rsidRDefault="00B109A1" w:rsidP="0019250F">
      <w:pPr>
        <w:pStyle w:val="TableTex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9"/>
        <w:gridCol w:w="7355"/>
      </w:tblGrid>
      <w:tr w:rsidR="00342109" w:rsidRPr="00B109A1" w14:paraId="4E39909E" w14:textId="77777777" w:rsidTr="6BAFCDE3">
        <w:tc>
          <w:tcPr>
            <w:tcW w:w="1819" w:type="dxa"/>
          </w:tcPr>
          <w:p w14:paraId="0F61139F" w14:textId="77777777" w:rsidR="00B109A1" w:rsidRPr="00B109A1" w:rsidRDefault="00B109A1" w:rsidP="0019250F">
            <w:pPr>
              <w:pStyle w:val="TableText"/>
            </w:pPr>
            <w:r w:rsidRPr="00B109A1">
              <w:t>PREPARED BY:</w:t>
            </w:r>
          </w:p>
        </w:tc>
        <w:tc>
          <w:tcPr>
            <w:tcW w:w="7355" w:type="dxa"/>
          </w:tcPr>
          <w:p w14:paraId="1A3A6B78" w14:textId="0319623C" w:rsidR="00B109A1" w:rsidRPr="00B109A1" w:rsidRDefault="009614EA" w:rsidP="0019250F">
            <w:pPr>
              <w:pStyle w:val="TableText"/>
            </w:pPr>
            <w:r>
              <w:t xml:space="preserve">AEMO </w:t>
            </w:r>
            <w:r w:rsidR="000D348D">
              <w:t xml:space="preserve">Market </w:t>
            </w:r>
            <w:r w:rsidR="00BE65D1">
              <w:t>Services</w:t>
            </w:r>
          </w:p>
        </w:tc>
      </w:tr>
      <w:tr w:rsidR="00342109" w:rsidRPr="00B109A1" w14:paraId="3543B8D9" w14:textId="77777777" w:rsidTr="6BAFCDE3">
        <w:tc>
          <w:tcPr>
            <w:tcW w:w="1819" w:type="dxa"/>
          </w:tcPr>
          <w:p w14:paraId="116DD5D1" w14:textId="77777777" w:rsidR="00B109A1" w:rsidRPr="00B109A1" w:rsidRDefault="00B109A1" w:rsidP="0019250F">
            <w:pPr>
              <w:pStyle w:val="TableText"/>
            </w:pPr>
            <w:r w:rsidRPr="00B109A1">
              <w:t>DOCUMENT REF:</w:t>
            </w:r>
          </w:p>
        </w:tc>
        <w:tc>
          <w:tcPr>
            <w:tcW w:w="7355" w:type="dxa"/>
          </w:tcPr>
          <w:p w14:paraId="3DB0734A" w14:textId="77777777" w:rsidR="00B109A1" w:rsidRPr="00B109A1" w:rsidRDefault="00B109A1" w:rsidP="0019250F">
            <w:pPr>
              <w:pStyle w:val="DocRef"/>
            </w:pPr>
            <w:r w:rsidRPr="00B109A1">
              <w:t>XX-XXXX</w:t>
            </w:r>
          </w:p>
        </w:tc>
      </w:tr>
      <w:tr w:rsidR="00342109" w:rsidRPr="00B109A1" w14:paraId="12FC0D43" w14:textId="77777777" w:rsidTr="6BAFCDE3">
        <w:tc>
          <w:tcPr>
            <w:tcW w:w="1819" w:type="dxa"/>
          </w:tcPr>
          <w:p w14:paraId="021723F1" w14:textId="77777777" w:rsidR="00B109A1" w:rsidRPr="00B109A1" w:rsidRDefault="00B109A1" w:rsidP="0019250F">
            <w:pPr>
              <w:pStyle w:val="TableText"/>
            </w:pPr>
            <w:r w:rsidRPr="00B109A1">
              <w:t>VERSION:</w:t>
            </w:r>
          </w:p>
        </w:tc>
        <w:tc>
          <w:tcPr>
            <w:tcW w:w="7355" w:type="dxa"/>
          </w:tcPr>
          <w:p w14:paraId="4CCA967D" w14:textId="0C8B8C3D" w:rsidR="00B109A1" w:rsidRPr="00B109A1" w:rsidRDefault="005A4950" w:rsidP="007B599E">
            <w:pPr>
              <w:pStyle w:val="TableText"/>
            </w:pPr>
            <w:r>
              <w:t>4.0</w:t>
            </w:r>
            <w:r w:rsidR="00F47CBF">
              <w:t xml:space="preserve"> </w:t>
            </w:r>
            <w:r w:rsidR="000D348D">
              <w:t>IIR</w:t>
            </w:r>
          </w:p>
        </w:tc>
      </w:tr>
      <w:tr w:rsidR="00342109" w:rsidRPr="00B109A1" w14:paraId="387B8810" w14:textId="77777777" w:rsidTr="6BAFCDE3">
        <w:tc>
          <w:tcPr>
            <w:tcW w:w="1819" w:type="dxa"/>
          </w:tcPr>
          <w:p w14:paraId="6A957145" w14:textId="77777777" w:rsidR="00B109A1" w:rsidRPr="00B109A1" w:rsidRDefault="00B109A1" w:rsidP="0019250F">
            <w:pPr>
              <w:pStyle w:val="TableText"/>
            </w:pPr>
            <w:r w:rsidRPr="00B109A1">
              <w:t>EFFECTIVE DATE:</w:t>
            </w:r>
          </w:p>
        </w:tc>
        <w:tc>
          <w:tcPr>
            <w:tcW w:w="7355" w:type="dxa"/>
          </w:tcPr>
          <w:p w14:paraId="02274B2C" w14:textId="59726AE9" w:rsidR="00B109A1" w:rsidRPr="00B109A1" w:rsidRDefault="00C57493" w:rsidP="00F32421">
            <w:pPr>
              <w:pStyle w:val="EffectDate"/>
            </w:pPr>
            <w:r>
              <w:t xml:space="preserve">Gas Date </w:t>
            </w:r>
            <w:r w:rsidR="00854129">
              <w:t>1 January 2023</w:t>
            </w:r>
          </w:p>
        </w:tc>
      </w:tr>
      <w:tr w:rsidR="00342109" w:rsidRPr="00B109A1" w14:paraId="35ED91B7" w14:textId="77777777" w:rsidTr="0012315B">
        <w:tc>
          <w:tcPr>
            <w:tcW w:w="1819" w:type="dxa"/>
            <w:tcBorders>
              <w:bottom w:val="single" w:sz="4" w:space="0" w:color="auto"/>
            </w:tcBorders>
          </w:tcPr>
          <w:p w14:paraId="761FA6AD" w14:textId="77777777" w:rsidR="00B109A1" w:rsidRPr="00B109A1" w:rsidRDefault="00B109A1" w:rsidP="0019250F">
            <w:pPr>
              <w:pStyle w:val="TableText"/>
            </w:pPr>
            <w:r w:rsidRPr="00B109A1">
              <w:t>STATUS:</w:t>
            </w:r>
          </w:p>
        </w:tc>
        <w:tc>
          <w:tcPr>
            <w:tcW w:w="7355" w:type="dxa"/>
          </w:tcPr>
          <w:p w14:paraId="374A3C06" w14:textId="3AA94B2A" w:rsidR="00B109A1" w:rsidRPr="00B109A1" w:rsidRDefault="000D348D" w:rsidP="0019250F">
            <w:pPr>
              <w:pStyle w:val="TableText"/>
            </w:pPr>
            <w:r>
              <w:t xml:space="preserve">IIR </w:t>
            </w:r>
            <w:r w:rsidR="009614EA">
              <w:t>DRAFT</w:t>
            </w:r>
          </w:p>
        </w:tc>
      </w:tr>
      <w:tr w:rsidR="00342109" w:rsidRPr="00596E73" w14:paraId="1A22886B" w14:textId="77777777" w:rsidTr="6BAFCDE3">
        <w:tc>
          <w:tcPr>
            <w:tcW w:w="9174" w:type="dxa"/>
            <w:gridSpan w:val="2"/>
          </w:tcPr>
          <w:p w14:paraId="2D7C71B2" w14:textId="29D940B8" w:rsidR="0012315B" w:rsidRPr="00596E73" w:rsidRDefault="0012315B" w:rsidP="004954FD">
            <w:pPr>
              <w:pStyle w:val="TableTitle"/>
            </w:pPr>
          </w:p>
        </w:tc>
      </w:tr>
      <w:tr w:rsidR="00342109" w:rsidRPr="00B109A1" w14:paraId="134B871D" w14:textId="77777777" w:rsidTr="6BAFCDE3">
        <w:tc>
          <w:tcPr>
            <w:tcW w:w="1819" w:type="dxa"/>
          </w:tcPr>
          <w:p w14:paraId="39D820AD" w14:textId="77777777" w:rsidR="00B109A1" w:rsidRPr="00B109A1" w:rsidRDefault="00B109A1" w:rsidP="0019250F">
            <w:pPr>
              <w:pStyle w:val="TableText"/>
            </w:pPr>
            <w:r w:rsidRPr="00B109A1">
              <w:t>APPROVED BY:</w:t>
            </w:r>
          </w:p>
        </w:tc>
        <w:tc>
          <w:tcPr>
            <w:tcW w:w="7355" w:type="dxa"/>
          </w:tcPr>
          <w:p w14:paraId="336A6258" w14:textId="611488CB" w:rsidR="00B109A1" w:rsidRPr="00B109A1" w:rsidRDefault="00BE65D1" w:rsidP="0019250F">
            <w:pPr>
              <w:pStyle w:val="TableText"/>
            </w:pPr>
            <w:r>
              <w:t>V Mouchaileh</w:t>
            </w:r>
          </w:p>
        </w:tc>
      </w:tr>
      <w:tr w:rsidR="00342109" w:rsidRPr="00B109A1" w14:paraId="171228FD" w14:textId="77777777" w:rsidTr="6BAFCDE3">
        <w:trPr>
          <w:trHeight w:val="737"/>
        </w:trPr>
        <w:tc>
          <w:tcPr>
            <w:tcW w:w="1819" w:type="dxa"/>
          </w:tcPr>
          <w:p w14:paraId="538B1F67" w14:textId="77777777" w:rsidR="00B109A1" w:rsidRPr="00B109A1" w:rsidRDefault="00B109A1" w:rsidP="0019250F">
            <w:pPr>
              <w:pStyle w:val="TableText"/>
            </w:pPr>
            <w:r w:rsidRPr="00B109A1">
              <w:t>TITLE:</w:t>
            </w:r>
          </w:p>
        </w:tc>
        <w:tc>
          <w:tcPr>
            <w:tcW w:w="7355" w:type="dxa"/>
          </w:tcPr>
          <w:p w14:paraId="1B409148" w14:textId="490F65C0" w:rsidR="00B109A1" w:rsidRPr="00B109A1" w:rsidRDefault="00BE65D1" w:rsidP="0019250F">
            <w:pPr>
              <w:pStyle w:val="TableText"/>
            </w:pPr>
            <w:r>
              <w:t xml:space="preserve">Chief </w:t>
            </w:r>
            <w:r w:rsidR="000D348D">
              <w:t xml:space="preserve">Market </w:t>
            </w:r>
            <w:r>
              <w:t>Services Officer</w:t>
            </w:r>
          </w:p>
        </w:tc>
      </w:tr>
      <w:tr w:rsidR="00342109" w:rsidRPr="00B109A1" w14:paraId="59A12E8A" w14:textId="77777777" w:rsidTr="6BAFCDE3">
        <w:tc>
          <w:tcPr>
            <w:tcW w:w="1819" w:type="dxa"/>
          </w:tcPr>
          <w:p w14:paraId="08BDC8D7" w14:textId="77777777" w:rsidR="00B109A1" w:rsidRPr="00B109A1" w:rsidRDefault="00B109A1" w:rsidP="0019250F">
            <w:pPr>
              <w:pStyle w:val="TableText"/>
            </w:pPr>
            <w:r w:rsidRPr="00B109A1">
              <w:t>DATE:</w:t>
            </w:r>
          </w:p>
        </w:tc>
        <w:tc>
          <w:tcPr>
            <w:tcW w:w="7355" w:type="dxa"/>
          </w:tcPr>
          <w:p w14:paraId="6DE1AA50" w14:textId="54488CB2" w:rsidR="00C57493" w:rsidRDefault="00C57493" w:rsidP="0019250F">
            <w:pPr>
              <w:pStyle w:val="TableText"/>
            </w:pPr>
            <w:r>
              <w:t>NOT APPROVED - DRAFT ONLY</w:t>
            </w:r>
          </w:p>
          <w:p w14:paraId="73CEA51D" w14:textId="349C5E7D" w:rsidR="00B109A1" w:rsidRPr="00B109A1" w:rsidRDefault="009614EA" w:rsidP="0019250F">
            <w:pPr>
              <w:pStyle w:val="TableText"/>
            </w:pPr>
            <w:r>
              <w:t xml:space="preserve">   /     / 20</w:t>
            </w:r>
            <w:r w:rsidR="000E01EE">
              <w:t>21</w:t>
            </w:r>
            <w:r>
              <w:t xml:space="preserve">  </w:t>
            </w:r>
          </w:p>
        </w:tc>
      </w:tr>
    </w:tbl>
    <w:p w14:paraId="2012D4F6" w14:textId="77777777" w:rsidR="00710277" w:rsidRDefault="00710277" w:rsidP="004C5114">
      <w:pPr>
        <w:pStyle w:val="BodyText"/>
      </w:pPr>
    </w:p>
    <w:p w14:paraId="0D809AB1" w14:textId="77777777" w:rsidR="00710277" w:rsidRDefault="00710277" w:rsidP="004C5114">
      <w:pPr>
        <w:pStyle w:val="BodyText"/>
        <w:sectPr w:rsidR="00710277" w:rsidSect="001F1DB3">
          <w:headerReference w:type="default" r:id="rId11"/>
          <w:footerReference w:type="default" r:id="rId12"/>
          <w:pgSz w:w="11906" w:h="16838"/>
          <w:pgMar w:top="1871" w:right="1361" w:bottom="1871" w:left="1361" w:header="567" w:footer="567" w:gutter="0"/>
          <w:cols w:space="708"/>
          <w:docGrid w:linePitch="360"/>
        </w:sectPr>
      </w:pPr>
    </w:p>
    <w:p w14:paraId="19BB2A0E" w14:textId="259FC1F7" w:rsidR="009F7908" w:rsidRDefault="00F32421" w:rsidP="00B876BA">
      <w:pPr>
        <w:pStyle w:val="TOCHeading"/>
      </w:pPr>
      <w:r w:rsidRPr="00F32421">
        <w:lastRenderedPageBreak/>
        <w:t>Version Release History</w:t>
      </w:r>
    </w:p>
    <w:tbl>
      <w:tblPr>
        <w:tblStyle w:val="AEMOTable"/>
        <w:tblW w:w="9234" w:type="dxa"/>
        <w:tblLook w:val="0620" w:firstRow="1" w:lastRow="0" w:firstColumn="0" w:lastColumn="0" w:noHBand="1" w:noVBand="1"/>
      </w:tblPr>
      <w:tblGrid>
        <w:gridCol w:w="877"/>
        <w:gridCol w:w="1533"/>
        <w:gridCol w:w="6824"/>
      </w:tblGrid>
      <w:tr w:rsidR="00870D61" w:rsidRPr="00F32421" w14:paraId="35F80D89" w14:textId="77777777" w:rsidTr="003E5D34">
        <w:trPr>
          <w:cnfStyle w:val="100000000000" w:firstRow="1" w:lastRow="0" w:firstColumn="0" w:lastColumn="0" w:oddVBand="0" w:evenVBand="0" w:oddHBand="0" w:evenHBand="0" w:firstRowFirstColumn="0" w:firstRowLastColumn="0" w:lastRowFirstColumn="0" w:lastRowLastColumn="0"/>
        </w:trPr>
        <w:tc>
          <w:tcPr>
            <w:tcW w:w="877" w:type="dxa"/>
          </w:tcPr>
          <w:p w14:paraId="1FED31CD" w14:textId="77777777" w:rsidR="00870D61" w:rsidRPr="0019250F" w:rsidRDefault="00870D61" w:rsidP="002D58F7">
            <w:pPr>
              <w:pStyle w:val="TableText"/>
            </w:pPr>
            <w:r w:rsidRPr="0019250F">
              <w:t xml:space="preserve">Version </w:t>
            </w:r>
          </w:p>
        </w:tc>
        <w:tc>
          <w:tcPr>
            <w:tcW w:w="1533" w:type="dxa"/>
          </w:tcPr>
          <w:p w14:paraId="699C460F" w14:textId="77777777" w:rsidR="00870D61" w:rsidRPr="0019250F" w:rsidRDefault="00870D61" w:rsidP="002D58F7">
            <w:pPr>
              <w:pStyle w:val="TableText"/>
            </w:pPr>
            <w:r w:rsidRPr="0019250F">
              <w:t>Effective Date</w:t>
            </w:r>
          </w:p>
        </w:tc>
        <w:tc>
          <w:tcPr>
            <w:tcW w:w="6824" w:type="dxa"/>
          </w:tcPr>
          <w:p w14:paraId="2B389D52" w14:textId="77777777" w:rsidR="00870D61" w:rsidRPr="0019250F" w:rsidRDefault="00870D61" w:rsidP="002D58F7">
            <w:pPr>
              <w:pStyle w:val="TableText"/>
            </w:pPr>
            <w:r w:rsidRPr="0019250F">
              <w:t>Summary of Changes</w:t>
            </w:r>
          </w:p>
        </w:tc>
      </w:tr>
    </w:tbl>
    <w:tbl>
      <w:tblPr>
        <w:tblStyle w:val="TableGrid1"/>
        <w:tblW w:w="9237" w:type="dxa"/>
        <w:tblInd w:w="0" w:type="dxa"/>
        <w:tblCellMar>
          <w:top w:w="52" w:type="dxa"/>
          <w:left w:w="107" w:type="dxa"/>
          <w:right w:w="58" w:type="dxa"/>
        </w:tblCellMar>
        <w:tblLook w:val="04A0" w:firstRow="1" w:lastRow="0" w:firstColumn="1" w:lastColumn="0" w:noHBand="0" w:noVBand="1"/>
      </w:tblPr>
      <w:tblGrid>
        <w:gridCol w:w="929"/>
        <w:gridCol w:w="1184"/>
        <w:gridCol w:w="7124"/>
      </w:tblGrid>
      <w:tr w:rsidR="003E5D34" w14:paraId="6F4A2570" w14:textId="77777777" w:rsidTr="003E5D34">
        <w:trPr>
          <w:cantSplit/>
        </w:trPr>
        <w:tc>
          <w:tcPr>
            <w:tcW w:w="929" w:type="dxa"/>
            <w:tcBorders>
              <w:top w:val="single" w:sz="8" w:space="0" w:color="FFFFFF"/>
              <w:left w:val="nil"/>
              <w:bottom w:val="single" w:sz="8" w:space="0" w:color="FFFFFF"/>
              <w:right w:val="single" w:sz="8" w:space="0" w:color="FFFFFF"/>
            </w:tcBorders>
            <w:shd w:val="clear" w:color="auto" w:fill="F2F2F2"/>
          </w:tcPr>
          <w:p w14:paraId="0DEA216E" w14:textId="77777777" w:rsidR="003E5D34" w:rsidRDefault="003E5D34" w:rsidP="002D58F7">
            <w:pPr>
              <w:spacing w:after="0" w:line="259" w:lineRule="auto"/>
              <w:ind w:left="1"/>
              <w:rPr>
                <w:sz w:val="18"/>
              </w:rPr>
            </w:pPr>
            <w:r>
              <w:rPr>
                <w:sz w:val="18"/>
              </w:rPr>
              <w:t>4.0</w:t>
            </w:r>
          </w:p>
        </w:tc>
        <w:tc>
          <w:tcPr>
            <w:tcW w:w="1184" w:type="dxa"/>
            <w:tcBorders>
              <w:top w:val="single" w:sz="8" w:space="0" w:color="FFFFFF"/>
              <w:left w:val="single" w:sz="8" w:space="0" w:color="FFFFFF"/>
              <w:bottom w:val="single" w:sz="8" w:space="0" w:color="FFFFFF"/>
              <w:right w:val="single" w:sz="8" w:space="0" w:color="FFFFFF"/>
            </w:tcBorders>
            <w:shd w:val="clear" w:color="auto" w:fill="F2F2F2"/>
          </w:tcPr>
          <w:p w14:paraId="6A11343A" w14:textId="77777777" w:rsidR="003E5D34" w:rsidRDefault="003E5D34" w:rsidP="002D58F7">
            <w:pPr>
              <w:spacing w:after="0" w:line="259" w:lineRule="auto"/>
              <w:ind w:left="1"/>
              <w:rPr>
                <w:sz w:val="18"/>
              </w:rPr>
            </w:pPr>
            <w:r>
              <w:rPr>
                <w:sz w:val="18"/>
              </w:rPr>
              <w:t>1 Jan 2023</w:t>
            </w:r>
          </w:p>
        </w:tc>
        <w:tc>
          <w:tcPr>
            <w:tcW w:w="7124" w:type="dxa"/>
            <w:tcBorders>
              <w:top w:val="single" w:sz="8" w:space="0" w:color="FFFFFF"/>
              <w:left w:val="single" w:sz="8" w:space="0" w:color="FFFFFF"/>
              <w:bottom w:val="single" w:sz="8" w:space="0" w:color="FFFFFF"/>
              <w:right w:val="nil"/>
            </w:tcBorders>
            <w:shd w:val="clear" w:color="auto" w:fill="F2F2F2"/>
          </w:tcPr>
          <w:p w14:paraId="5F9B9037" w14:textId="3C8D4465" w:rsidR="003E5D34" w:rsidRDefault="003E5D34" w:rsidP="002F531B">
            <w:pPr>
              <w:spacing w:after="43" w:line="239" w:lineRule="auto"/>
              <w:rPr>
                <w:sz w:val="18"/>
              </w:rPr>
            </w:pPr>
            <w:r>
              <w:rPr>
                <w:sz w:val="18"/>
              </w:rPr>
              <w:t xml:space="preserve">Updated to reflect the </w:t>
            </w:r>
            <w:r w:rsidR="00C84828" w:rsidRPr="00C84828">
              <w:rPr>
                <w:sz w:val="18"/>
              </w:rPr>
              <w:t>AEMC</w:t>
            </w:r>
            <w:r w:rsidR="00C84828">
              <w:rPr>
                <w:sz w:val="18"/>
              </w:rPr>
              <w:t>’s</w:t>
            </w:r>
            <w:r w:rsidR="00C84828" w:rsidRPr="00C84828">
              <w:rPr>
                <w:sz w:val="18"/>
              </w:rPr>
              <w:t xml:space="preserve"> DWGM improvement to AMDQ regime, Rule determination, 12 March 2020</w:t>
            </w:r>
          </w:p>
          <w:p w14:paraId="64DA5AFA" w14:textId="3F0D28AE" w:rsidR="00F95AC9" w:rsidRDefault="00F95AC9" w:rsidP="00F95AC9">
            <w:pPr>
              <w:pStyle w:val="ListParagraph"/>
              <w:numPr>
                <w:ilvl w:val="0"/>
                <w:numId w:val="36"/>
              </w:numPr>
              <w:spacing w:after="43" w:line="239" w:lineRule="auto"/>
              <w:rPr>
                <w:sz w:val="18"/>
              </w:rPr>
            </w:pPr>
            <w:r>
              <w:rPr>
                <w:sz w:val="18"/>
              </w:rPr>
              <w:t xml:space="preserve">Remove AMIQ, </w:t>
            </w:r>
            <w:r w:rsidR="005A3723">
              <w:rPr>
                <w:sz w:val="18"/>
              </w:rPr>
              <w:t>Congestion</w:t>
            </w:r>
            <w:r>
              <w:rPr>
                <w:sz w:val="18"/>
              </w:rPr>
              <w:t xml:space="preserve"> Uplift</w:t>
            </w:r>
          </w:p>
          <w:p w14:paraId="7387B5D2" w14:textId="77777777" w:rsidR="00F95AC9" w:rsidRDefault="00F95AC9" w:rsidP="00F95AC9">
            <w:pPr>
              <w:pStyle w:val="ListParagraph"/>
              <w:numPr>
                <w:ilvl w:val="0"/>
                <w:numId w:val="36"/>
              </w:numPr>
              <w:spacing w:after="43" w:line="239" w:lineRule="auto"/>
              <w:rPr>
                <w:sz w:val="18"/>
              </w:rPr>
            </w:pPr>
            <w:r>
              <w:rPr>
                <w:sz w:val="18"/>
              </w:rPr>
              <w:t>Add uplift categories</w:t>
            </w:r>
          </w:p>
          <w:p w14:paraId="310D88E9" w14:textId="1D6F8673" w:rsidR="002A4E8D" w:rsidRPr="00F95AC9" w:rsidRDefault="002A4E8D" w:rsidP="00F95AC9">
            <w:pPr>
              <w:pStyle w:val="ListParagraph"/>
              <w:numPr>
                <w:ilvl w:val="0"/>
                <w:numId w:val="36"/>
              </w:numPr>
              <w:spacing w:after="43" w:line="239" w:lineRule="auto"/>
              <w:rPr>
                <w:sz w:val="18"/>
              </w:rPr>
            </w:pPr>
            <w:r>
              <w:rPr>
                <w:sz w:val="18"/>
              </w:rPr>
              <w:t xml:space="preserve">Recover uplift </w:t>
            </w:r>
            <w:r w:rsidR="005A3723">
              <w:rPr>
                <w:sz w:val="18"/>
              </w:rPr>
              <w:t>payments</w:t>
            </w:r>
            <w:r>
              <w:rPr>
                <w:sz w:val="18"/>
              </w:rPr>
              <w:t xml:space="preserve"> using average ancil</w:t>
            </w:r>
            <w:r w:rsidR="005A3723">
              <w:rPr>
                <w:sz w:val="18"/>
              </w:rPr>
              <w:t>lary payments and adjusted uplift quantities</w:t>
            </w:r>
          </w:p>
        </w:tc>
      </w:tr>
      <w:tr w:rsidR="003E5D34" w14:paraId="68FE98CE" w14:textId="77777777" w:rsidTr="003E5D34">
        <w:trPr>
          <w:cantSplit/>
          <w:trHeight w:val="1669"/>
        </w:trPr>
        <w:tc>
          <w:tcPr>
            <w:tcW w:w="929" w:type="dxa"/>
            <w:tcBorders>
              <w:top w:val="single" w:sz="8" w:space="0" w:color="FFFFFF"/>
              <w:left w:val="nil"/>
              <w:bottom w:val="single" w:sz="8" w:space="0" w:color="FFFFFF"/>
              <w:right w:val="single" w:sz="8" w:space="0" w:color="FFFFFF"/>
            </w:tcBorders>
            <w:shd w:val="clear" w:color="auto" w:fill="F2F2F2"/>
          </w:tcPr>
          <w:p w14:paraId="0A8B2EE1" w14:textId="77777777" w:rsidR="003E5D34" w:rsidRDefault="003E5D34" w:rsidP="002D58F7">
            <w:pPr>
              <w:spacing w:after="0" w:line="259" w:lineRule="auto"/>
              <w:ind w:left="1"/>
            </w:pPr>
            <w:r>
              <w:rPr>
                <w:sz w:val="18"/>
              </w:rPr>
              <w:t xml:space="preserve">3.0 </w:t>
            </w:r>
          </w:p>
        </w:tc>
        <w:tc>
          <w:tcPr>
            <w:tcW w:w="1184" w:type="dxa"/>
            <w:tcBorders>
              <w:top w:val="single" w:sz="8" w:space="0" w:color="FFFFFF"/>
              <w:left w:val="single" w:sz="8" w:space="0" w:color="FFFFFF"/>
              <w:bottom w:val="single" w:sz="8" w:space="0" w:color="FFFFFF"/>
              <w:right w:val="single" w:sz="8" w:space="0" w:color="FFFFFF"/>
            </w:tcBorders>
            <w:shd w:val="clear" w:color="auto" w:fill="F2F2F2"/>
          </w:tcPr>
          <w:p w14:paraId="18922483" w14:textId="77777777" w:rsidR="003E5D34" w:rsidRDefault="003E5D34" w:rsidP="002D58F7">
            <w:pPr>
              <w:spacing w:after="0" w:line="259" w:lineRule="auto"/>
              <w:ind w:left="1"/>
            </w:pPr>
            <w:r>
              <w:rPr>
                <w:sz w:val="18"/>
              </w:rPr>
              <w:t xml:space="preserve">25 October </w:t>
            </w:r>
          </w:p>
          <w:p w14:paraId="398F86F6" w14:textId="77777777" w:rsidR="003E5D34" w:rsidRDefault="003E5D34" w:rsidP="002D58F7">
            <w:pPr>
              <w:spacing w:after="0" w:line="259" w:lineRule="auto"/>
              <w:ind w:left="1"/>
            </w:pPr>
            <w:r>
              <w:rPr>
                <w:sz w:val="18"/>
              </w:rPr>
              <w:t xml:space="preserve">2016 </w:t>
            </w:r>
          </w:p>
        </w:tc>
        <w:tc>
          <w:tcPr>
            <w:tcW w:w="7124" w:type="dxa"/>
            <w:tcBorders>
              <w:top w:val="single" w:sz="8" w:space="0" w:color="FFFFFF"/>
              <w:left w:val="single" w:sz="8" w:space="0" w:color="FFFFFF"/>
              <w:bottom w:val="single" w:sz="8" w:space="0" w:color="FFFFFF"/>
              <w:right w:val="nil"/>
            </w:tcBorders>
            <w:shd w:val="clear" w:color="auto" w:fill="F2F2F2"/>
          </w:tcPr>
          <w:p w14:paraId="52396F3F" w14:textId="77777777" w:rsidR="003E5D34" w:rsidRDefault="003E5D34" w:rsidP="002D58F7">
            <w:pPr>
              <w:spacing w:after="43" w:line="239" w:lineRule="auto"/>
            </w:pPr>
            <w:r>
              <w:rPr>
                <w:sz w:val="18"/>
              </w:rPr>
              <w:t xml:space="preserve">Update to reflect the National Gas Amendment (DWGM-AMDQ Allocation) Rule 2016 No. 1 </w:t>
            </w:r>
          </w:p>
          <w:p w14:paraId="006DA29A" w14:textId="77777777" w:rsidR="003E5D34" w:rsidRDefault="003E5D34" w:rsidP="002D58F7">
            <w:pPr>
              <w:spacing w:after="28" w:line="254" w:lineRule="auto"/>
              <w:ind w:right="71"/>
            </w:pPr>
            <w:r>
              <w:rPr>
                <w:sz w:val="18"/>
              </w:rPr>
              <w:t xml:space="preserve">As a consequence of the above rule change it is required to take AMDQ CC into account in clause 3.6 for the determination of Uplift hedge for the Longford CPP. Add missing clause 6.1 heading, and correct reference in clause 6.4 from clause 6.1 to clause 6.2. </w:t>
            </w:r>
          </w:p>
          <w:p w14:paraId="090391D7" w14:textId="77777777" w:rsidR="003E5D34" w:rsidRDefault="003E5D34" w:rsidP="002D58F7">
            <w:pPr>
              <w:spacing w:after="0" w:line="259" w:lineRule="auto"/>
            </w:pPr>
            <w:r>
              <w:rPr>
                <w:sz w:val="18"/>
              </w:rPr>
              <w:t xml:space="preserve">Update document to current procedure format. </w:t>
            </w:r>
          </w:p>
        </w:tc>
      </w:tr>
      <w:tr w:rsidR="003E5D34" w14:paraId="263AB34D" w14:textId="77777777" w:rsidTr="003E5D34">
        <w:trPr>
          <w:cantSplit/>
          <w:trHeight w:val="2370"/>
        </w:trPr>
        <w:tc>
          <w:tcPr>
            <w:tcW w:w="929" w:type="dxa"/>
            <w:tcBorders>
              <w:top w:val="single" w:sz="8" w:space="0" w:color="FFFFFF"/>
              <w:left w:val="nil"/>
              <w:bottom w:val="single" w:sz="8" w:space="0" w:color="FFFFFF"/>
              <w:right w:val="single" w:sz="8" w:space="0" w:color="FFFFFF"/>
            </w:tcBorders>
            <w:shd w:val="clear" w:color="auto" w:fill="F2F2F2"/>
          </w:tcPr>
          <w:p w14:paraId="0A3908EB" w14:textId="77777777" w:rsidR="003E5D34" w:rsidRDefault="003E5D34" w:rsidP="002D58F7">
            <w:pPr>
              <w:spacing w:after="0" w:line="259" w:lineRule="auto"/>
              <w:ind w:left="1"/>
            </w:pPr>
            <w:r>
              <w:rPr>
                <w:sz w:val="18"/>
              </w:rPr>
              <w:t xml:space="preserve">2.1 </w:t>
            </w:r>
          </w:p>
        </w:tc>
        <w:tc>
          <w:tcPr>
            <w:tcW w:w="1184" w:type="dxa"/>
            <w:tcBorders>
              <w:top w:val="single" w:sz="8" w:space="0" w:color="FFFFFF"/>
              <w:left w:val="single" w:sz="8" w:space="0" w:color="FFFFFF"/>
              <w:bottom w:val="single" w:sz="8" w:space="0" w:color="FFFFFF"/>
              <w:right w:val="single" w:sz="8" w:space="0" w:color="FFFFFF"/>
            </w:tcBorders>
            <w:shd w:val="clear" w:color="auto" w:fill="F2F2F2"/>
          </w:tcPr>
          <w:p w14:paraId="4917D4B8" w14:textId="77777777" w:rsidR="003E5D34" w:rsidRDefault="003E5D34" w:rsidP="002D58F7">
            <w:pPr>
              <w:spacing w:after="0" w:line="259" w:lineRule="auto"/>
              <w:ind w:left="1"/>
            </w:pPr>
            <w:r>
              <w:rPr>
                <w:sz w:val="18"/>
              </w:rPr>
              <w:t xml:space="preserve">1 May 2012 </w:t>
            </w:r>
          </w:p>
        </w:tc>
        <w:tc>
          <w:tcPr>
            <w:tcW w:w="7124" w:type="dxa"/>
            <w:tcBorders>
              <w:top w:val="single" w:sz="8" w:space="0" w:color="FFFFFF"/>
              <w:left w:val="single" w:sz="8" w:space="0" w:color="FFFFFF"/>
              <w:bottom w:val="single" w:sz="8" w:space="0" w:color="FFFFFF"/>
              <w:right w:val="nil"/>
            </w:tcBorders>
            <w:shd w:val="clear" w:color="auto" w:fill="F2F2F2"/>
          </w:tcPr>
          <w:p w14:paraId="32487D46" w14:textId="77777777" w:rsidR="003E5D34" w:rsidRDefault="003E5D34" w:rsidP="002D58F7">
            <w:pPr>
              <w:spacing w:after="24" w:line="259" w:lineRule="auto"/>
            </w:pPr>
            <w:r>
              <w:rPr>
                <w:sz w:val="18"/>
              </w:rPr>
              <w:t xml:space="preserve">Updated to reflect that IHN and AIHN are by CPP, not by SIPs. </w:t>
            </w:r>
          </w:p>
          <w:p w14:paraId="21FAA585" w14:textId="77777777" w:rsidR="003E5D34" w:rsidRDefault="003E5D34" w:rsidP="002D58F7">
            <w:pPr>
              <w:spacing w:after="25" w:line="257" w:lineRule="auto"/>
            </w:pPr>
            <w:r>
              <w:rPr>
                <w:sz w:val="18"/>
              </w:rPr>
              <w:t xml:space="preserve">Emphasised that Market Participants can update their AMIQ profile during the gas day, but only the AMIQ profile submitted for the last schedule is used for AMIQ calculation. Clarified that the total uplift payments for an operating schedule is equal to the total ancillary payments for that schedule adjusted for ‘AP clawback’ as per the Ancillary payments functional design v9.0. </w:t>
            </w:r>
          </w:p>
          <w:p w14:paraId="27ACB6E9" w14:textId="77777777" w:rsidR="003E5D34" w:rsidRDefault="003E5D34" w:rsidP="002D58F7">
            <w:pPr>
              <w:spacing w:after="46" w:line="259" w:lineRule="auto"/>
            </w:pPr>
            <w:r>
              <w:rPr>
                <w:sz w:val="18"/>
              </w:rPr>
              <w:t xml:space="preserve">Included Mortlake system injection point in the Iona CPP group. </w:t>
            </w:r>
          </w:p>
          <w:p w14:paraId="27F1C916" w14:textId="77777777" w:rsidR="003E5D34" w:rsidRDefault="003E5D34" w:rsidP="002D58F7">
            <w:pPr>
              <w:spacing w:after="35" w:line="266" w:lineRule="auto"/>
            </w:pPr>
            <w:r>
              <w:rPr>
                <w:sz w:val="18"/>
              </w:rPr>
              <w:t xml:space="preserve">Removed ‘LNG’ from ‘Authorised MDQ/ AMDQ credit certificate location’ column in the CPP table and replaced it with ‘N/A’. </w:t>
            </w:r>
          </w:p>
          <w:p w14:paraId="01BC0C90" w14:textId="77777777" w:rsidR="003E5D34" w:rsidRDefault="003E5D34" w:rsidP="002D58F7">
            <w:pPr>
              <w:spacing w:after="0" w:line="259" w:lineRule="auto"/>
            </w:pPr>
            <w:r>
              <w:rPr>
                <w:sz w:val="18"/>
              </w:rPr>
              <w:t xml:space="preserve">Deleted ‘2:00 AM’ from the AMIQ Profile Limit table. </w:t>
            </w:r>
          </w:p>
        </w:tc>
      </w:tr>
      <w:tr w:rsidR="003E5D34" w14:paraId="5F32A2D1" w14:textId="77777777" w:rsidTr="003E5D34">
        <w:trPr>
          <w:cantSplit/>
          <w:trHeight w:val="720"/>
        </w:trPr>
        <w:tc>
          <w:tcPr>
            <w:tcW w:w="929" w:type="dxa"/>
            <w:tcBorders>
              <w:top w:val="single" w:sz="8" w:space="0" w:color="FFFFFF"/>
              <w:left w:val="nil"/>
              <w:bottom w:val="single" w:sz="8" w:space="0" w:color="FFFFFF"/>
              <w:right w:val="single" w:sz="8" w:space="0" w:color="FFFFFF"/>
            </w:tcBorders>
            <w:shd w:val="clear" w:color="auto" w:fill="F2F2F2"/>
          </w:tcPr>
          <w:p w14:paraId="34FD534A" w14:textId="77777777" w:rsidR="003E5D34" w:rsidRDefault="003E5D34" w:rsidP="002D58F7">
            <w:pPr>
              <w:spacing w:after="0" w:line="259" w:lineRule="auto"/>
              <w:ind w:left="1"/>
            </w:pPr>
            <w:r>
              <w:rPr>
                <w:sz w:val="18"/>
              </w:rPr>
              <w:t xml:space="preserve">2.0 </w:t>
            </w:r>
          </w:p>
          <w:p w14:paraId="7570FED8" w14:textId="77777777" w:rsidR="003E5D34" w:rsidRDefault="003E5D34" w:rsidP="002D58F7">
            <w:pPr>
              <w:spacing w:after="0" w:line="259" w:lineRule="auto"/>
              <w:ind w:left="1"/>
            </w:pPr>
            <w:r>
              <w:rPr>
                <w:sz w:val="18"/>
              </w:rPr>
              <w:t>(NGR)</w:t>
            </w:r>
          </w:p>
          <w:p w14:paraId="0AED90D2" w14:textId="77777777" w:rsidR="003E5D34" w:rsidRDefault="003E5D34" w:rsidP="002D58F7">
            <w:pPr>
              <w:spacing w:after="0" w:line="259" w:lineRule="auto"/>
              <w:ind w:left="1"/>
              <w:jc w:val="center"/>
            </w:pPr>
            <w:r>
              <w:rPr>
                <w:sz w:val="18"/>
              </w:rPr>
              <w:t xml:space="preserve"> </w:t>
            </w:r>
            <w:r>
              <w:rPr>
                <w:sz w:val="18"/>
              </w:rPr>
              <w:tab/>
              <w:t xml:space="preserve"> </w:t>
            </w:r>
          </w:p>
        </w:tc>
        <w:tc>
          <w:tcPr>
            <w:tcW w:w="1184" w:type="dxa"/>
            <w:tcBorders>
              <w:top w:val="single" w:sz="8" w:space="0" w:color="FFFFFF"/>
              <w:left w:val="single" w:sz="8" w:space="0" w:color="FFFFFF"/>
              <w:bottom w:val="single" w:sz="8" w:space="0" w:color="FFFFFF"/>
              <w:right w:val="single" w:sz="8" w:space="0" w:color="FFFFFF"/>
            </w:tcBorders>
            <w:shd w:val="clear" w:color="auto" w:fill="F2F2F2"/>
          </w:tcPr>
          <w:p w14:paraId="56D96E94" w14:textId="77777777" w:rsidR="003E5D34" w:rsidRDefault="003E5D34" w:rsidP="002D58F7">
            <w:pPr>
              <w:spacing w:after="0" w:line="259" w:lineRule="auto"/>
              <w:ind w:left="1"/>
            </w:pPr>
            <w:r>
              <w:rPr>
                <w:sz w:val="18"/>
              </w:rPr>
              <w:t xml:space="preserve">5 February </w:t>
            </w:r>
          </w:p>
          <w:p w14:paraId="6E73F6A2" w14:textId="77777777" w:rsidR="003E5D34" w:rsidRDefault="003E5D34" w:rsidP="002D58F7">
            <w:pPr>
              <w:spacing w:after="0" w:line="259" w:lineRule="auto"/>
              <w:ind w:left="1"/>
            </w:pPr>
            <w:r>
              <w:rPr>
                <w:sz w:val="18"/>
              </w:rPr>
              <w:t xml:space="preserve">2011 </w:t>
            </w:r>
          </w:p>
        </w:tc>
        <w:tc>
          <w:tcPr>
            <w:tcW w:w="7124" w:type="dxa"/>
            <w:tcBorders>
              <w:top w:val="single" w:sz="8" w:space="0" w:color="FFFFFF"/>
              <w:left w:val="single" w:sz="8" w:space="0" w:color="FFFFFF"/>
              <w:bottom w:val="single" w:sz="8" w:space="0" w:color="FFFFFF"/>
              <w:right w:val="nil"/>
            </w:tcBorders>
            <w:shd w:val="clear" w:color="auto" w:fill="F2F2F2"/>
          </w:tcPr>
          <w:p w14:paraId="71C9A101" w14:textId="77777777" w:rsidR="003E5D34" w:rsidRDefault="003E5D34" w:rsidP="002D58F7">
            <w:pPr>
              <w:spacing w:after="0" w:line="259" w:lineRule="auto"/>
            </w:pPr>
            <w:r>
              <w:rPr>
                <w:sz w:val="18"/>
              </w:rPr>
              <w:t xml:space="preserve">Changes in section 3.2, daily tariff V authorised MDQ updated every gas day rather than every business day </w:t>
            </w:r>
          </w:p>
        </w:tc>
      </w:tr>
      <w:tr w:rsidR="003E5D34" w14:paraId="5F8C188C" w14:textId="77777777" w:rsidTr="003E5D34">
        <w:trPr>
          <w:cantSplit/>
          <w:trHeight w:val="514"/>
        </w:trPr>
        <w:tc>
          <w:tcPr>
            <w:tcW w:w="929" w:type="dxa"/>
            <w:tcBorders>
              <w:top w:val="single" w:sz="8" w:space="0" w:color="FFFFFF"/>
              <w:left w:val="nil"/>
              <w:bottom w:val="single" w:sz="8" w:space="0" w:color="FFFFFF"/>
              <w:right w:val="single" w:sz="8" w:space="0" w:color="FFFFFF"/>
            </w:tcBorders>
            <w:shd w:val="clear" w:color="auto" w:fill="F2F2F2"/>
          </w:tcPr>
          <w:p w14:paraId="349D04B8" w14:textId="77777777" w:rsidR="003E5D34" w:rsidRDefault="003E5D34" w:rsidP="002D58F7">
            <w:pPr>
              <w:spacing w:after="0" w:line="259" w:lineRule="auto"/>
              <w:ind w:left="1"/>
            </w:pPr>
            <w:r>
              <w:rPr>
                <w:sz w:val="18"/>
              </w:rPr>
              <w:t xml:space="preserve">1.0 (NGR) </w:t>
            </w:r>
          </w:p>
        </w:tc>
        <w:tc>
          <w:tcPr>
            <w:tcW w:w="1184" w:type="dxa"/>
            <w:tcBorders>
              <w:top w:val="single" w:sz="8" w:space="0" w:color="FFFFFF"/>
              <w:left w:val="single" w:sz="8" w:space="0" w:color="FFFFFF"/>
              <w:bottom w:val="single" w:sz="8" w:space="0" w:color="FFFFFF"/>
              <w:right w:val="single" w:sz="8" w:space="0" w:color="FFFFFF"/>
            </w:tcBorders>
            <w:shd w:val="clear" w:color="auto" w:fill="F2F2F2"/>
          </w:tcPr>
          <w:p w14:paraId="06CAC3B0" w14:textId="77777777" w:rsidR="003E5D34" w:rsidRDefault="003E5D34" w:rsidP="002D58F7">
            <w:pPr>
              <w:spacing w:after="0" w:line="259" w:lineRule="auto"/>
              <w:ind w:left="1"/>
            </w:pPr>
            <w:r>
              <w:rPr>
                <w:sz w:val="18"/>
              </w:rPr>
              <w:t xml:space="preserve">16 August </w:t>
            </w:r>
          </w:p>
          <w:p w14:paraId="2BC1FD4C" w14:textId="77777777" w:rsidR="003E5D34" w:rsidRDefault="003E5D34" w:rsidP="002D58F7">
            <w:pPr>
              <w:spacing w:after="0" w:line="259" w:lineRule="auto"/>
              <w:ind w:left="1"/>
            </w:pPr>
            <w:r>
              <w:rPr>
                <w:sz w:val="18"/>
              </w:rPr>
              <w:t xml:space="preserve">2010 </w:t>
            </w:r>
          </w:p>
        </w:tc>
        <w:tc>
          <w:tcPr>
            <w:tcW w:w="7124" w:type="dxa"/>
            <w:tcBorders>
              <w:top w:val="single" w:sz="8" w:space="0" w:color="FFFFFF"/>
              <w:left w:val="single" w:sz="8" w:space="0" w:color="FFFFFF"/>
              <w:bottom w:val="single" w:sz="8" w:space="0" w:color="FFFFFF"/>
              <w:right w:val="nil"/>
            </w:tcBorders>
            <w:shd w:val="clear" w:color="auto" w:fill="F2F2F2"/>
          </w:tcPr>
          <w:p w14:paraId="4C1F1597" w14:textId="77777777" w:rsidR="003E5D34" w:rsidRDefault="003E5D34" w:rsidP="002D58F7">
            <w:pPr>
              <w:spacing w:after="0" w:line="259" w:lineRule="auto"/>
            </w:pPr>
            <w:r>
              <w:rPr>
                <w:sz w:val="18"/>
              </w:rPr>
              <w:t xml:space="preserve">Rebranded and updated for NGR </w:t>
            </w:r>
          </w:p>
        </w:tc>
      </w:tr>
      <w:tr w:rsidR="003E5D34" w14:paraId="69B83385" w14:textId="77777777" w:rsidTr="003E5D34">
        <w:trPr>
          <w:cantSplit/>
          <w:trHeight w:val="308"/>
        </w:trPr>
        <w:tc>
          <w:tcPr>
            <w:tcW w:w="929" w:type="dxa"/>
            <w:tcBorders>
              <w:top w:val="single" w:sz="8" w:space="0" w:color="FFFFFF"/>
              <w:left w:val="nil"/>
              <w:bottom w:val="single" w:sz="8" w:space="0" w:color="FFFFFF"/>
              <w:right w:val="single" w:sz="8" w:space="0" w:color="FFFFFF"/>
            </w:tcBorders>
            <w:shd w:val="clear" w:color="auto" w:fill="F2F2F2"/>
          </w:tcPr>
          <w:p w14:paraId="1C9692C5" w14:textId="77777777" w:rsidR="003E5D34" w:rsidRDefault="003E5D34" w:rsidP="002D58F7">
            <w:pPr>
              <w:spacing w:after="0" w:line="259" w:lineRule="auto"/>
              <w:ind w:left="1"/>
            </w:pPr>
            <w:r>
              <w:rPr>
                <w:sz w:val="18"/>
              </w:rPr>
              <w:t xml:space="preserve">5.3 </w:t>
            </w:r>
          </w:p>
        </w:tc>
        <w:tc>
          <w:tcPr>
            <w:tcW w:w="1184" w:type="dxa"/>
            <w:tcBorders>
              <w:top w:val="single" w:sz="8" w:space="0" w:color="FFFFFF"/>
              <w:left w:val="single" w:sz="8" w:space="0" w:color="FFFFFF"/>
              <w:bottom w:val="single" w:sz="8" w:space="0" w:color="FFFFFF"/>
              <w:right w:val="single" w:sz="8" w:space="0" w:color="FFFFFF"/>
            </w:tcBorders>
            <w:shd w:val="clear" w:color="auto" w:fill="F2F2F2"/>
          </w:tcPr>
          <w:p w14:paraId="57895639" w14:textId="77777777" w:rsidR="003E5D34" w:rsidRDefault="003E5D34" w:rsidP="002D58F7">
            <w:pPr>
              <w:spacing w:after="0" w:line="259" w:lineRule="auto"/>
              <w:ind w:left="1"/>
            </w:pPr>
            <w:r>
              <w:rPr>
                <w:sz w:val="18"/>
              </w:rPr>
              <w:t xml:space="preserve">May 2009 </w:t>
            </w:r>
          </w:p>
        </w:tc>
        <w:tc>
          <w:tcPr>
            <w:tcW w:w="7124" w:type="dxa"/>
            <w:tcBorders>
              <w:top w:val="single" w:sz="8" w:space="0" w:color="FFFFFF"/>
              <w:left w:val="single" w:sz="8" w:space="0" w:color="FFFFFF"/>
              <w:bottom w:val="single" w:sz="8" w:space="0" w:color="FFFFFF"/>
              <w:right w:val="nil"/>
            </w:tcBorders>
            <w:shd w:val="clear" w:color="auto" w:fill="F2F2F2"/>
          </w:tcPr>
          <w:p w14:paraId="4ABDAD8F" w14:textId="77777777" w:rsidR="003E5D34" w:rsidRDefault="003E5D34" w:rsidP="002D58F7">
            <w:pPr>
              <w:spacing w:after="0" w:line="259" w:lineRule="auto"/>
            </w:pPr>
            <w:r>
              <w:rPr>
                <w:sz w:val="18"/>
              </w:rPr>
              <w:t xml:space="preserve">Updated to include the daily apportionment of tariff V AMDQ in Clause 4.2 </w:t>
            </w:r>
          </w:p>
        </w:tc>
      </w:tr>
      <w:tr w:rsidR="003E5D34" w14:paraId="3C0FFEB3" w14:textId="77777777" w:rsidTr="003E5D34">
        <w:trPr>
          <w:cantSplit/>
          <w:trHeight w:val="761"/>
        </w:trPr>
        <w:tc>
          <w:tcPr>
            <w:tcW w:w="929" w:type="dxa"/>
            <w:tcBorders>
              <w:top w:val="single" w:sz="8" w:space="0" w:color="FFFFFF"/>
              <w:left w:val="nil"/>
              <w:bottom w:val="single" w:sz="8" w:space="0" w:color="FFFFFF"/>
              <w:right w:val="single" w:sz="8" w:space="0" w:color="FFFFFF"/>
            </w:tcBorders>
            <w:shd w:val="clear" w:color="auto" w:fill="F2F2F2"/>
          </w:tcPr>
          <w:p w14:paraId="5A9D56B9" w14:textId="77777777" w:rsidR="003E5D34" w:rsidRDefault="003E5D34" w:rsidP="002D58F7">
            <w:pPr>
              <w:spacing w:after="0" w:line="259" w:lineRule="auto"/>
              <w:ind w:left="1"/>
            </w:pPr>
            <w:r>
              <w:rPr>
                <w:sz w:val="18"/>
              </w:rPr>
              <w:t xml:space="preserve">5.2 </w:t>
            </w:r>
          </w:p>
        </w:tc>
        <w:tc>
          <w:tcPr>
            <w:tcW w:w="1184" w:type="dxa"/>
            <w:tcBorders>
              <w:top w:val="single" w:sz="8" w:space="0" w:color="FFFFFF"/>
              <w:left w:val="single" w:sz="8" w:space="0" w:color="FFFFFF"/>
              <w:bottom w:val="single" w:sz="8" w:space="0" w:color="FFFFFF"/>
              <w:right w:val="single" w:sz="8" w:space="0" w:color="FFFFFF"/>
            </w:tcBorders>
            <w:shd w:val="clear" w:color="auto" w:fill="F2F2F2"/>
          </w:tcPr>
          <w:p w14:paraId="6114D624" w14:textId="77777777" w:rsidR="003E5D34" w:rsidRDefault="003E5D34" w:rsidP="002D58F7">
            <w:pPr>
              <w:spacing w:after="0" w:line="259" w:lineRule="auto"/>
              <w:ind w:left="1"/>
            </w:pPr>
            <w:r>
              <w:rPr>
                <w:sz w:val="18"/>
              </w:rPr>
              <w:t xml:space="preserve">May 2008 </w:t>
            </w:r>
          </w:p>
        </w:tc>
        <w:tc>
          <w:tcPr>
            <w:tcW w:w="7124" w:type="dxa"/>
            <w:tcBorders>
              <w:top w:val="single" w:sz="8" w:space="0" w:color="FFFFFF"/>
              <w:left w:val="single" w:sz="8" w:space="0" w:color="FFFFFF"/>
              <w:bottom w:val="single" w:sz="8" w:space="0" w:color="FFFFFF"/>
              <w:right w:val="nil"/>
            </w:tcBorders>
            <w:shd w:val="clear" w:color="auto" w:fill="F2F2F2"/>
          </w:tcPr>
          <w:p w14:paraId="7768023C" w14:textId="77777777" w:rsidR="003E5D34" w:rsidRDefault="003E5D34" w:rsidP="002D58F7">
            <w:pPr>
              <w:spacing w:after="41" w:line="239" w:lineRule="auto"/>
            </w:pPr>
            <w:r>
              <w:rPr>
                <w:sz w:val="18"/>
              </w:rPr>
              <w:t xml:space="preserve">Headings 8.4 and 8.5 where repeated with all references being to the contents in 8.5.  The heading 8.5 has been removed with all cross references corrected to be to 8.4.  </w:t>
            </w:r>
          </w:p>
          <w:p w14:paraId="6C2AABDC" w14:textId="77777777" w:rsidR="003E5D34" w:rsidRDefault="003E5D34" w:rsidP="002D58F7">
            <w:pPr>
              <w:spacing w:after="0" w:line="259" w:lineRule="auto"/>
            </w:pPr>
            <w:r>
              <w:rPr>
                <w:sz w:val="18"/>
              </w:rPr>
              <w:t xml:space="preserve">Correction of AP flip flops has been incorporated. </w:t>
            </w:r>
          </w:p>
        </w:tc>
      </w:tr>
      <w:tr w:rsidR="003E5D34" w14:paraId="53837E41" w14:textId="77777777" w:rsidTr="003E5D34">
        <w:trPr>
          <w:cantSplit/>
          <w:trHeight w:val="1049"/>
        </w:trPr>
        <w:tc>
          <w:tcPr>
            <w:tcW w:w="929" w:type="dxa"/>
            <w:tcBorders>
              <w:top w:val="single" w:sz="8" w:space="0" w:color="FFFFFF"/>
              <w:left w:val="nil"/>
              <w:bottom w:val="single" w:sz="8" w:space="0" w:color="FFFFFF"/>
              <w:right w:val="single" w:sz="8" w:space="0" w:color="FFFFFF"/>
            </w:tcBorders>
            <w:shd w:val="clear" w:color="auto" w:fill="F2F2F2"/>
          </w:tcPr>
          <w:p w14:paraId="4CAAE288" w14:textId="77777777" w:rsidR="003E5D34" w:rsidRDefault="003E5D34" w:rsidP="002D58F7">
            <w:pPr>
              <w:spacing w:after="0" w:line="259" w:lineRule="auto"/>
              <w:ind w:left="1"/>
            </w:pPr>
            <w:r>
              <w:rPr>
                <w:sz w:val="18"/>
              </w:rPr>
              <w:t xml:space="preserve">5.1 </w:t>
            </w:r>
          </w:p>
        </w:tc>
        <w:tc>
          <w:tcPr>
            <w:tcW w:w="1184" w:type="dxa"/>
            <w:tcBorders>
              <w:top w:val="single" w:sz="8" w:space="0" w:color="FFFFFF"/>
              <w:left w:val="single" w:sz="8" w:space="0" w:color="FFFFFF"/>
              <w:bottom w:val="single" w:sz="8" w:space="0" w:color="FFFFFF"/>
              <w:right w:val="single" w:sz="8" w:space="0" w:color="FFFFFF"/>
            </w:tcBorders>
            <w:shd w:val="clear" w:color="auto" w:fill="F2F2F2"/>
          </w:tcPr>
          <w:p w14:paraId="52C15C83" w14:textId="77777777" w:rsidR="003E5D34" w:rsidRDefault="003E5D34" w:rsidP="002D58F7">
            <w:pPr>
              <w:spacing w:after="0" w:line="259" w:lineRule="auto"/>
              <w:ind w:left="1"/>
            </w:pPr>
            <w:r>
              <w:rPr>
                <w:sz w:val="18"/>
              </w:rPr>
              <w:t xml:space="preserve">January 2007 </w:t>
            </w:r>
          </w:p>
        </w:tc>
        <w:tc>
          <w:tcPr>
            <w:tcW w:w="7124" w:type="dxa"/>
            <w:tcBorders>
              <w:top w:val="single" w:sz="8" w:space="0" w:color="FFFFFF"/>
              <w:left w:val="single" w:sz="8" w:space="0" w:color="FFFFFF"/>
              <w:bottom w:val="single" w:sz="8" w:space="0" w:color="FFFFFF"/>
              <w:right w:val="nil"/>
            </w:tcBorders>
            <w:shd w:val="clear" w:color="auto" w:fill="F2F2F2"/>
          </w:tcPr>
          <w:p w14:paraId="5F06F703" w14:textId="77777777" w:rsidR="003E5D34" w:rsidRDefault="003E5D34" w:rsidP="002D58F7">
            <w:pPr>
              <w:spacing w:after="24" w:line="259" w:lineRule="auto"/>
            </w:pPr>
            <w:r>
              <w:rPr>
                <w:sz w:val="18"/>
              </w:rPr>
              <w:t xml:space="preserve">Remove words “minus one multiplied by” written into sections 8.1, 8.2 and 8.3. </w:t>
            </w:r>
          </w:p>
          <w:p w14:paraId="293F1DBC" w14:textId="77777777" w:rsidR="003E5D34" w:rsidRDefault="003E5D34" w:rsidP="002D58F7">
            <w:pPr>
              <w:spacing w:after="24" w:line="259" w:lineRule="auto"/>
            </w:pPr>
            <w:r>
              <w:rPr>
                <w:sz w:val="18"/>
              </w:rPr>
              <w:t xml:space="preserve">Amend errors detected in version 5.0 </w:t>
            </w:r>
          </w:p>
          <w:p w14:paraId="7564817F" w14:textId="77777777" w:rsidR="003E5D34" w:rsidRDefault="003E5D34" w:rsidP="002D58F7">
            <w:pPr>
              <w:spacing w:after="24" w:line="259" w:lineRule="auto"/>
            </w:pPr>
            <w:r>
              <w:rPr>
                <w:sz w:val="18"/>
              </w:rPr>
              <w:t xml:space="preserve">Provide further clarity in some of the clauses </w:t>
            </w:r>
          </w:p>
          <w:p w14:paraId="2BC8DAED" w14:textId="77777777" w:rsidR="003E5D34" w:rsidRDefault="003E5D34" w:rsidP="002D58F7">
            <w:pPr>
              <w:spacing w:after="0" w:line="259" w:lineRule="auto"/>
            </w:pPr>
            <w:r>
              <w:rPr>
                <w:sz w:val="18"/>
              </w:rPr>
              <w:t xml:space="preserve">Note, Version 5.0 was superseded by this version before it was implemented </w:t>
            </w:r>
          </w:p>
        </w:tc>
      </w:tr>
      <w:tr w:rsidR="003E5D34" w14:paraId="41001209" w14:textId="77777777" w:rsidTr="003E5D34">
        <w:trPr>
          <w:cantSplit/>
          <w:trHeight w:val="514"/>
        </w:trPr>
        <w:tc>
          <w:tcPr>
            <w:tcW w:w="929" w:type="dxa"/>
            <w:tcBorders>
              <w:top w:val="single" w:sz="8" w:space="0" w:color="FFFFFF"/>
              <w:left w:val="nil"/>
              <w:bottom w:val="single" w:sz="8" w:space="0" w:color="FFFFFF"/>
              <w:right w:val="single" w:sz="8" w:space="0" w:color="FFFFFF"/>
            </w:tcBorders>
            <w:shd w:val="clear" w:color="auto" w:fill="F2F2F2"/>
          </w:tcPr>
          <w:p w14:paraId="768F5A61" w14:textId="77777777" w:rsidR="003E5D34" w:rsidRDefault="003E5D34" w:rsidP="002D58F7">
            <w:pPr>
              <w:spacing w:after="0" w:line="259" w:lineRule="auto"/>
              <w:ind w:left="1"/>
            </w:pPr>
            <w:r>
              <w:rPr>
                <w:sz w:val="18"/>
              </w:rPr>
              <w:t xml:space="preserve">5 </w:t>
            </w:r>
          </w:p>
        </w:tc>
        <w:tc>
          <w:tcPr>
            <w:tcW w:w="1184" w:type="dxa"/>
            <w:tcBorders>
              <w:top w:val="single" w:sz="8" w:space="0" w:color="FFFFFF"/>
              <w:left w:val="single" w:sz="8" w:space="0" w:color="FFFFFF"/>
              <w:bottom w:val="single" w:sz="8" w:space="0" w:color="FFFFFF"/>
              <w:right w:val="single" w:sz="8" w:space="0" w:color="FFFFFF"/>
            </w:tcBorders>
            <w:shd w:val="clear" w:color="auto" w:fill="F2F2F2"/>
          </w:tcPr>
          <w:p w14:paraId="748B221D" w14:textId="77777777" w:rsidR="003E5D34" w:rsidRDefault="003E5D34" w:rsidP="002D58F7">
            <w:pPr>
              <w:spacing w:after="0" w:line="259" w:lineRule="auto"/>
              <w:ind w:left="1"/>
            </w:pPr>
            <w:r>
              <w:rPr>
                <w:sz w:val="18"/>
              </w:rPr>
              <w:t xml:space="preserve">11 Nov </w:t>
            </w:r>
          </w:p>
          <w:p w14:paraId="18A89B83" w14:textId="77777777" w:rsidR="003E5D34" w:rsidRDefault="003E5D34" w:rsidP="002D58F7">
            <w:pPr>
              <w:spacing w:after="0" w:line="259" w:lineRule="auto"/>
              <w:ind w:left="1"/>
            </w:pPr>
            <w:r>
              <w:rPr>
                <w:sz w:val="18"/>
              </w:rPr>
              <w:t xml:space="preserve">2005 </w:t>
            </w:r>
          </w:p>
        </w:tc>
        <w:tc>
          <w:tcPr>
            <w:tcW w:w="7124" w:type="dxa"/>
            <w:tcBorders>
              <w:top w:val="single" w:sz="8" w:space="0" w:color="FFFFFF"/>
              <w:left w:val="single" w:sz="8" w:space="0" w:color="FFFFFF"/>
              <w:bottom w:val="single" w:sz="8" w:space="0" w:color="FFFFFF"/>
              <w:right w:val="nil"/>
            </w:tcBorders>
            <w:shd w:val="clear" w:color="auto" w:fill="F2F2F2"/>
          </w:tcPr>
          <w:p w14:paraId="1762B680" w14:textId="77777777" w:rsidR="003E5D34" w:rsidRDefault="003E5D34" w:rsidP="002D58F7">
            <w:pPr>
              <w:spacing w:after="0" w:line="259" w:lineRule="auto"/>
            </w:pPr>
            <w:r>
              <w:rPr>
                <w:sz w:val="18"/>
              </w:rPr>
              <w:t xml:space="preserve">Rewrite for Gas Market Project </w:t>
            </w:r>
          </w:p>
        </w:tc>
      </w:tr>
      <w:tr w:rsidR="003E5D34" w14:paraId="026405EF" w14:textId="77777777" w:rsidTr="003E5D34">
        <w:trPr>
          <w:cantSplit/>
          <w:trHeight w:val="1630"/>
        </w:trPr>
        <w:tc>
          <w:tcPr>
            <w:tcW w:w="929" w:type="dxa"/>
            <w:tcBorders>
              <w:top w:val="single" w:sz="8" w:space="0" w:color="FFFFFF"/>
              <w:left w:val="nil"/>
              <w:bottom w:val="single" w:sz="8" w:space="0" w:color="FFFFFF"/>
              <w:right w:val="single" w:sz="8" w:space="0" w:color="FFFFFF"/>
            </w:tcBorders>
            <w:shd w:val="clear" w:color="auto" w:fill="F2F2F2"/>
          </w:tcPr>
          <w:p w14:paraId="3AC0AC53" w14:textId="77777777" w:rsidR="003E5D34" w:rsidRDefault="003E5D34" w:rsidP="002D58F7">
            <w:pPr>
              <w:spacing w:after="0" w:line="259" w:lineRule="auto"/>
              <w:ind w:left="1"/>
            </w:pPr>
            <w:r>
              <w:rPr>
                <w:sz w:val="18"/>
              </w:rPr>
              <w:t xml:space="preserve">4 </w:t>
            </w:r>
          </w:p>
        </w:tc>
        <w:tc>
          <w:tcPr>
            <w:tcW w:w="1184" w:type="dxa"/>
            <w:tcBorders>
              <w:top w:val="single" w:sz="8" w:space="0" w:color="FFFFFF"/>
              <w:left w:val="single" w:sz="8" w:space="0" w:color="FFFFFF"/>
              <w:bottom w:val="single" w:sz="8" w:space="0" w:color="FFFFFF"/>
              <w:right w:val="single" w:sz="8" w:space="0" w:color="FFFFFF"/>
            </w:tcBorders>
            <w:shd w:val="clear" w:color="auto" w:fill="F2F2F2"/>
          </w:tcPr>
          <w:p w14:paraId="0C9FC9D1" w14:textId="77777777" w:rsidR="003E5D34" w:rsidRDefault="003E5D34" w:rsidP="002D58F7">
            <w:pPr>
              <w:spacing w:after="8" w:line="259" w:lineRule="auto"/>
              <w:ind w:left="1"/>
            </w:pPr>
            <w:r>
              <w:rPr>
                <w:sz w:val="18"/>
              </w:rPr>
              <w:t>20</w:t>
            </w:r>
            <w:r>
              <w:rPr>
                <w:sz w:val="18"/>
                <w:vertAlign w:val="superscript"/>
              </w:rPr>
              <w:t>th</w:t>
            </w:r>
            <w:r>
              <w:rPr>
                <w:sz w:val="18"/>
              </w:rPr>
              <w:t xml:space="preserve"> Aug </w:t>
            </w:r>
          </w:p>
          <w:p w14:paraId="690E0C59" w14:textId="77777777" w:rsidR="003E5D34" w:rsidRDefault="003E5D34" w:rsidP="002D58F7">
            <w:pPr>
              <w:spacing w:after="0" w:line="259" w:lineRule="auto"/>
              <w:ind w:left="1"/>
            </w:pPr>
            <w:r>
              <w:rPr>
                <w:sz w:val="18"/>
              </w:rPr>
              <w:t xml:space="preserve">2004 </w:t>
            </w:r>
          </w:p>
        </w:tc>
        <w:tc>
          <w:tcPr>
            <w:tcW w:w="7124" w:type="dxa"/>
            <w:tcBorders>
              <w:top w:val="single" w:sz="8" w:space="0" w:color="FFFFFF"/>
              <w:left w:val="single" w:sz="8" w:space="0" w:color="FFFFFF"/>
              <w:bottom w:val="single" w:sz="8" w:space="0" w:color="FFFFFF"/>
              <w:right w:val="nil"/>
            </w:tcBorders>
            <w:shd w:val="clear" w:color="auto" w:fill="F2F2F2"/>
          </w:tcPr>
          <w:p w14:paraId="5AFC9FBA" w14:textId="77777777" w:rsidR="003E5D34" w:rsidRDefault="003E5D34" w:rsidP="002D58F7">
            <w:pPr>
              <w:spacing w:after="23"/>
            </w:pPr>
            <w:r>
              <w:rPr>
                <w:sz w:val="18"/>
              </w:rPr>
              <w:t xml:space="preserve">Correct references between uplifts procedures clause 5.2 and 5.3 and MSO Rules clause 5.1.4. Alter clause 5.1 and 5.2 to remove words “by Market Participant” which were erroneously inserted in a previous version of these procedures Correct </w:t>
            </w:r>
          </w:p>
          <w:p w14:paraId="288883E7" w14:textId="77777777" w:rsidR="003E5D34" w:rsidRDefault="003E5D34" w:rsidP="002D58F7">
            <w:pPr>
              <w:spacing w:after="24" w:line="259" w:lineRule="auto"/>
            </w:pPr>
            <w:r>
              <w:rPr>
                <w:sz w:val="18"/>
              </w:rPr>
              <w:t xml:space="preserve">“reference documents” section </w:t>
            </w:r>
          </w:p>
          <w:p w14:paraId="18390CE3" w14:textId="77777777" w:rsidR="003E5D34" w:rsidRDefault="003E5D34" w:rsidP="002D58F7">
            <w:pPr>
              <w:spacing w:after="24" w:line="259" w:lineRule="auto"/>
            </w:pPr>
            <w:r>
              <w:rPr>
                <w:sz w:val="18"/>
              </w:rPr>
              <w:t xml:space="preserve">Reword section 3.3 </w:t>
            </w:r>
          </w:p>
          <w:p w14:paraId="5FB01D61" w14:textId="77777777" w:rsidR="003E5D34" w:rsidRDefault="003E5D34" w:rsidP="002D58F7">
            <w:pPr>
              <w:spacing w:after="0" w:line="259" w:lineRule="auto"/>
            </w:pPr>
            <w:r>
              <w:rPr>
                <w:sz w:val="18"/>
              </w:rPr>
              <w:t xml:space="preserve">Clarification that compressor fuel gas is excluded from Cumulative D AMDQ exceedance (clause 6.3.1) </w:t>
            </w:r>
          </w:p>
        </w:tc>
      </w:tr>
      <w:tr w:rsidR="003E5D34" w14:paraId="4F155AAD" w14:textId="77777777" w:rsidTr="003E5D34">
        <w:trPr>
          <w:cantSplit/>
          <w:trHeight w:val="514"/>
        </w:trPr>
        <w:tc>
          <w:tcPr>
            <w:tcW w:w="929" w:type="dxa"/>
            <w:tcBorders>
              <w:top w:val="single" w:sz="8" w:space="0" w:color="FFFFFF"/>
              <w:left w:val="nil"/>
              <w:bottom w:val="single" w:sz="8" w:space="0" w:color="FFFFFF"/>
              <w:right w:val="single" w:sz="8" w:space="0" w:color="FFFFFF"/>
            </w:tcBorders>
            <w:shd w:val="clear" w:color="auto" w:fill="F2F2F2"/>
          </w:tcPr>
          <w:p w14:paraId="52444052" w14:textId="77777777" w:rsidR="003E5D34" w:rsidRDefault="003E5D34" w:rsidP="002D58F7">
            <w:pPr>
              <w:spacing w:after="0" w:line="259" w:lineRule="auto"/>
              <w:ind w:left="1"/>
            </w:pPr>
            <w:r>
              <w:rPr>
                <w:sz w:val="18"/>
              </w:rPr>
              <w:lastRenderedPageBreak/>
              <w:t xml:space="preserve">3 </w:t>
            </w:r>
          </w:p>
        </w:tc>
        <w:tc>
          <w:tcPr>
            <w:tcW w:w="1184" w:type="dxa"/>
            <w:tcBorders>
              <w:top w:val="single" w:sz="8" w:space="0" w:color="FFFFFF"/>
              <w:left w:val="single" w:sz="8" w:space="0" w:color="FFFFFF"/>
              <w:bottom w:val="single" w:sz="8" w:space="0" w:color="FFFFFF"/>
              <w:right w:val="single" w:sz="8" w:space="0" w:color="FFFFFF"/>
            </w:tcBorders>
            <w:shd w:val="clear" w:color="auto" w:fill="F2F2F2"/>
          </w:tcPr>
          <w:p w14:paraId="1F6460DC" w14:textId="77777777" w:rsidR="003E5D34" w:rsidRDefault="003E5D34" w:rsidP="002D58F7">
            <w:pPr>
              <w:spacing w:after="8" w:line="259" w:lineRule="auto"/>
              <w:ind w:left="1"/>
            </w:pPr>
            <w:r>
              <w:rPr>
                <w:sz w:val="18"/>
              </w:rPr>
              <w:t>26</w:t>
            </w:r>
            <w:r>
              <w:rPr>
                <w:sz w:val="18"/>
                <w:vertAlign w:val="superscript"/>
              </w:rPr>
              <w:t>th</w:t>
            </w:r>
            <w:r>
              <w:rPr>
                <w:sz w:val="18"/>
              </w:rPr>
              <w:t xml:space="preserve"> Nov </w:t>
            </w:r>
          </w:p>
          <w:p w14:paraId="68E4A4F2" w14:textId="77777777" w:rsidR="003E5D34" w:rsidRDefault="003E5D34" w:rsidP="002D58F7">
            <w:pPr>
              <w:spacing w:after="0" w:line="259" w:lineRule="auto"/>
              <w:ind w:left="1"/>
            </w:pPr>
            <w:r>
              <w:rPr>
                <w:sz w:val="18"/>
              </w:rPr>
              <w:t xml:space="preserve">2002 </w:t>
            </w:r>
          </w:p>
        </w:tc>
        <w:tc>
          <w:tcPr>
            <w:tcW w:w="7124" w:type="dxa"/>
            <w:tcBorders>
              <w:top w:val="single" w:sz="8" w:space="0" w:color="FFFFFF"/>
              <w:left w:val="single" w:sz="8" w:space="0" w:color="FFFFFF"/>
              <w:bottom w:val="single" w:sz="8" w:space="0" w:color="FFFFFF"/>
              <w:right w:val="nil"/>
            </w:tcBorders>
            <w:shd w:val="clear" w:color="auto" w:fill="F2F2F2"/>
          </w:tcPr>
          <w:p w14:paraId="2698CDA1" w14:textId="77777777" w:rsidR="003E5D34" w:rsidRDefault="003E5D34" w:rsidP="002D58F7">
            <w:pPr>
              <w:spacing w:after="0" w:line="259" w:lineRule="auto"/>
              <w:ind w:right="22"/>
            </w:pPr>
            <w:r>
              <w:rPr>
                <w:sz w:val="18"/>
              </w:rPr>
              <w:t xml:space="preserve">Incorporates new concepts of conditional transfers and interchangeable close proximity injection points </w:t>
            </w:r>
          </w:p>
        </w:tc>
      </w:tr>
      <w:tr w:rsidR="003E5D34" w14:paraId="42098557" w14:textId="77777777" w:rsidTr="003E5D34">
        <w:trPr>
          <w:cantSplit/>
          <w:trHeight w:val="554"/>
        </w:trPr>
        <w:tc>
          <w:tcPr>
            <w:tcW w:w="929" w:type="dxa"/>
            <w:tcBorders>
              <w:top w:val="single" w:sz="8" w:space="0" w:color="FFFFFF"/>
              <w:left w:val="nil"/>
              <w:bottom w:val="single" w:sz="8" w:space="0" w:color="FFFFFF"/>
              <w:right w:val="single" w:sz="8" w:space="0" w:color="FFFFFF"/>
            </w:tcBorders>
            <w:shd w:val="clear" w:color="auto" w:fill="F2F2F2"/>
          </w:tcPr>
          <w:p w14:paraId="014479BD" w14:textId="77777777" w:rsidR="003E5D34" w:rsidRDefault="003E5D34" w:rsidP="002D58F7">
            <w:pPr>
              <w:spacing w:after="0" w:line="259" w:lineRule="auto"/>
              <w:ind w:left="1"/>
            </w:pPr>
            <w:r>
              <w:rPr>
                <w:sz w:val="18"/>
              </w:rPr>
              <w:t xml:space="preserve">2 </w:t>
            </w:r>
          </w:p>
        </w:tc>
        <w:tc>
          <w:tcPr>
            <w:tcW w:w="1184" w:type="dxa"/>
            <w:tcBorders>
              <w:top w:val="single" w:sz="8" w:space="0" w:color="FFFFFF"/>
              <w:left w:val="single" w:sz="8" w:space="0" w:color="FFFFFF"/>
              <w:bottom w:val="single" w:sz="8" w:space="0" w:color="FFFFFF"/>
              <w:right w:val="single" w:sz="8" w:space="0" w:color="FFFFFF"/>
            </w:tcBorders>
            <w:shd w:val="clear" w:color="auto" w:fill="F2F2F2"/>
          </w:tcPr>
          <w:p w14:paraId="3AFF07CD" w14:textId="77777777" w:rsidR="003E5D34" w:rsidRDefault="003E5D34" w:rsidP="002D58F7">
            <w:pPr>
              <w:spacing w:after="0" w:line="259" w:lineRule="auto"/>
              <w:ind w:left="1"/>
            </w:pPr>
            <w:r>
              <w:rPr>
                <w:sz w:val="18"/>
              </w:rPr>
              <w:t xml:space="preserve">May 2002 </w:t>
            </w:r>
          </w:p>
        </w:tc>
        <w:tc>
          <w:tcPr>
            <w:tcW w:w="7124" w:type="dxa"/>
            <w:tcBorders>
              <w:top w:val="single" w:sz="8" w:space="0" w:color="FFFFFF"/>
              <w:left w:val="single" w:sz="8" w:space="0" w:color="FFFFFF"/>
              <w:bottom w:val="single" w:sz="8" w:space="0" w:color="FFFFFF"/>
              <w:right w:val="nil"/>
            </w:tcBorders>
            <w:shd w:val="clear" w:color="auto" w:fill="F2F2F2"/>
          </w:tcPr>
          <w:p w14:paraId="64DB0988" w14:textId="3311FDB8" w:rsidR="003E5D34" w:rsidRDefault="003E5D34" w:rsidP="002D58F7">
            <w:pPr>
              <w:spacing w:after="0" w:line="259" w:lineRule="auto"/>
              <w:ind w:right="923"/>
            </w:pPr>
            <w:r>
              <w:rPr>
                <w:sz w:val="18"/>
              </w:rPr>
              <w:t xml:space="preserve">Complete rewording to align with the function design </w:t>
            </w:r>
            <w:r w:rsidR="005E39E2">
              <w:rPr>
                <w:sz w:val="18"/>
              </w:rPr>
              <w:t>document Procedures</w:t>
            </w:r>
            <w:r>
              <w:rPr>
                <w:sz w:val="18"/>
              </w:rPr>
              <w:t xml:space="preserve"> extended to include site AMDQ credits </w:t>
            </w:r>
          </w:p>
        </w:tc>
      </w:tr>
      <w:tr w:rsidR="003E5D34" w14:paraId="62C43143" w14:textId="77777777" w:rsidTr="003E5D34">
        <w:trPr>
          <w:cantSplit/>
          <w:trHeight w:val="504"/>
        </w:trPr>
        <w:tc>
          <w:tcPr>
            <w:tcW w:w="929" w:type="dxa"/>
            <w:tcBorders>
              <w:top w:val="single" w:sz="8" w:space="0" w:color="FFFFFF"/>
              <w:left w:val="nil"/>
              <w:bottom w:val="nil"/>
              <w:right w:val="single" w:sz="8" w:space="0" w:color="FFFFFF"/>
            </w:tcBorders>
            <w:shd w:val="clear" w:color="auto" w:fill="F2F2F2"/>
          </w:tcPr>
          <w:p w14:paraId="024D39C5" w14:textId="77777777" w:rsidR="003E5D34" w:rsidRDefault="003E5D34" w:rsidP="002D58F7">
            <w:pPr>
              <w:spacing w:after="0" w:line="259" w:lineRule="auto"/>
              <w:ind w:left="1"/>
            </w:pPr>
            <w:r>
              <w:rPr>
                <w:sz w:val="18"/>
              </w:rPr>
              <w:t xml:space="preserve">1 </w:t>
            </w:r>
          </w:p>
        </w:tc>
        <w:tc>
          <w:tcPr>
            <w:tcW w:w="1184" w:type="dxa"/>
            <w:tcBorders>
              <w:top w:val="single" w:sz="8" w:space="0" w:color="FFFFFF"/>
              <w:left w:val="single" w:sz="8" w:space="0" w:color="FFFFFF"/>
              <w:bottom w:val="nil"/>
              <w:right w:val="single" w:sz="8" w:space="0" w:color="FFFFFF"/>
            </w:tcBorders>
            <w:shd w:val="clear" w:color="auto" w:fill="F2F2F2"/>
          </w:tcPr>
          <w:p w14:paraId="67ADE1E7" w14:textId="77777777" w:rsidR="003E5D34" w:rsidRDefault="003E5D34" w:rsidP="002D58F7">
            <w:pPr>
              <w:spacing w:after="0" w:line="259" w:lineRule="auto"/>
              <w:ind w:left="1"/>
            </w:pPr>
            <w:r>
              <w:rPr>
                <w:sz w:val="18"/>
              </w:rPr>
              <w:t xml:space="preserve">2nd July </w:t>
            </w:r>
          </w:p>
          <w:p w14:paraId="14C042A0" w14:textId="77777777" w:rsidR="003E5D34" w:rsidRDefault="003E5D34" w:rsidP="002D58F7">
            <w:pPr>
              <w:spacing w:after="0" w:line="259" w:lineRule="auto"/>
              <w:ind w:left="1"/>
            </w:pPr>
            <w:r>
              <w:rPr>
                <w:sz w:val="18"/>
              </w:rPr>
              <w:t xml:space="preserve">2001 </w:t>
            </w:r>
          </w:p>
        </w:tc>
        <w:tc>
          <w:tcPr>
            <w:tcW w:w="7124" w:type="dxa"/>
            <w:tcBorders>
              <w:top w:val="single" w:sz="8" w:space="0" w:color="FFFFFF"/>
              <w:left w:val="single" w:sz="8" w:space="0" w:color="FFFFFF"/>
              <w:bottom w:val="nil"/>
              <w:right w:val="nil"/>
            </w:tcBorders>
            <w:shd w:val="clear" w:color="auto" w:fill="F2F2F2"/>
          </w:tcPr>
          <w:p w14:paraId="2EC8A73A" w14:textId="77777777" w:rsidR="003E5D34" w:rsidRDefault="003E5D34" w:rsidP="002D58F7">
            <w:pPr>
              <w:spacing w:after="0" w:line="259" w:lineRule="auto"/>
            </w:pPr>
            <w:r>
              <w:rPr>
                <w:sz w:val="18"/>
              </w:rPr>
              <w:t xml:space="preserve">First issue. </w:t>
            </w:r>
          </w:p>
        </w:tc>
      </w:tr>
    </w:tbl>
    <w:p w14:paraId="45D91F0D" w14:textId="77777777" w:rsidR="00870D61" w:rsidRPr="00F32421" w:rsidRDefault="00870D61" w:rsidP="0019250F">
      <w:pPr>
        <w:pStyle w:val="TableFootnote"/>
        <w:rPr>
          <w:lang w:val="en-US"/>
        </w:rPr>
      </w:pPr>
    </w:p>
    <w:p w14:paraId="2BD16F99" w14:textId="77777777" w:rsidR="00710277" w:rsidRDefault="00710277" w:rsidP="004C5114">
      <w:pPr>
        <w:pStyle w:val="BodyText"/>
      </w:pPr>
    </w:p>
    <w:p w14:paraId="7D64C260" w14:textId="77777777" w:rsidR="00C45A03" w:rsidRPr="0028199D" w:rsidRDefault="00C45A03" w:rsidP="00C45A03"/>
    <w:p w14:paraId="1D81C8A0" w14:textId="77777777" w:rsidR="00C87427" w:rsidRPr="0028199D" w:rsidRDefault="00C87427" w:rsidP="0028199D">
      <w:pPr>
        <w:pStyle w:val="BodyText"/>
        <w:rPr>
          <w:b/>
          <w:sz w:val="40"/>
          <w:szCs w:val="40"/>
        </w:rPr>
        <w:sectPr w:rsidR="00C87427" w:rsidRPr="0028199D" w:rsidSect="00DE0688">
          <w:headerReference w:type="even" r:id="rId13"/>
          <w:headerReference w:type="default" r:id="rId14"/>
          <w:footerReference w:type="even" r:id="rId15"/>
          <w:footerReference w:type="default" r:id="rId16"/>
          <w:headerReference w:type="first" r:id="rId17"/>
          <w:pgSz w:w="11906" w:h="16838" w:code="9"/>
          <w:pgMar w:top="1871" w:right="1361" w:bottom="1361" w:left="1361" w:header="1021" w:footer="567" w:gutter="0"/>
          <w:cols w:space="708"/>
          <w:docGrid w:linePitch="360"/>
        </w:sectPr>
      </w:pPr>
    </w:p>
    <w:p w14:paraId="2FF92D2A" w14:textId="77777777" w:rsidR="00712CE9" w:rsidRDefault="006B6119">
      <w:pPr>
        <w:pStyle w:val="TOC1"/>
      </w:pPr>
      <w:r w:rsidRPr="00375C24">
        <w:lastRenderedPageBreak/>
        <w:t>Contents</w:t>
      </w:r>
    </w:p>
    <w:p w14:paraId="5A865D02" w14:textId="4DE64915" w:rsidR="003721F1" w:rsidRDefault="006B6119">
      <w:pPr>
        <w:pStyle w:val="TOC1"/>
        <w:rPr>
          <w:rFonts w:eastAsiaTheme="minorEastAsia" w:cstheme="minorBidi"/>
          <w:b w:val="0"/>
          <w:caps w:val="0"/>
          <w:color w:val="auto"/>
          <w:sz w:val="22"/>
          <w:szCs w:val="22"/>
          <w:lang w:eastAsia="en-AU"/>
        </w:rPr>
      </w:pPr>
      <w:r w:rsidRPr="00520420">
        <w:rPr>
          <w:rFonts w:ascii="Arial Bold" w:hAnsi="Arial Bold"/>
          <w:color w:val="B3E0EE" w:themeColor="accent6"/>
          <w:szCs w:val="22"/>
          <w:shd w:val="clear" w:color="auto" w:fill="E6E6E6"/>
        </w:rPr>
        <w:fldChar w:fldCharType="begin"/>
      </w:r>
      <w:r w:rsidRPr="00520420">
        <w:instrText xml:space="preserve"> TOC \h \z \t "Heading 1,1,Heading 2,2,Appendix Heading 1,5,Appendix Heading 2,2,Foreword Heading 1,3,Foreword Heading 2,4" </w:instrText>
      </w:r>
      <w:r w:rsidRPr="00520420">
        <w:rPr>
          <w:rFonts w:ascii="Arial Bold" w:hAnsi="Arial Bold"/>
          <w:color w:val="B3E0EE" w:themeColor="accent6"/>
          <w:szCs w:val="22"/>
          <w:shd w:val="clear" w:color="auto" w:fill="E6E6E6"/>
        </w:rPr>
        <w:fldChar w:fldCharType="separate"/>
      </w:r>
      <w:hyperlink w:anchor="_Toc62480187" w:history="1">
        <w:r w:rsidR="003721F1" w:rsidRPr="008E5231">
          <w:rPr>
            <w:rStyle w:val="Hyperlink"/>
          </w:rPr>
          <w:t>1.</w:t>
        </w:r>
        <w:r w:rsidR="003721F1">
          <w:rPr>
            <w:rFonts w:eastAsiaTheme="minorEastAsia" w:cstheme="minorBidi"/>
            <w:b w:val="0"/>
            <w:caps w:val="0"/>
            <w:color w:val="auto"/>
            <w:sz w:val="22"/>
            <w:szCs w:val="22"/>
            <w:lang w:eastAsia="en-AU"/>
          </w:rPr>
          <w:tab/>
        </w:r>
        <w:r w:rsidR="003721F1" w:rsidRPr="008E5231">
          <w:rPr>
            <w:rStyle w:val="Hyperlink"/>
          </w:rPr>
          <w:t>Introduction</w:t>
        </w:r>
        <w:r w:rsidR="003721F1">
          <w:rPr>
            <w:webHidden/>
          </w:rPr>
          <w:tab/>
        </w:r>
        <w:r w:rsidR="003721F1">
          <w:rPr>
            <w:webHidden/>
          </w:rPr>
          <w:fldChar w:fldCharType="begin"/>
        </w:r>
        <w:r w:rsidR="003721F1">
          <w:rPr>
            <w:webHidden/>
          </w:rPr>
          <w:instrText xml:space="preserve"> PAGEREF _Toc62480187 \h </w:instrText>
        </w:r>
        <w:r w:rsidR="003721F1">
          <w:rPr>
            <w:webHidden/>
          </w:rPr>
        </w:r>
        <w:r w:rsidR="003721F1">
          <w:rPr>
            <w:webHidden/>
          </w:rPr>
          <w:fldChar w:fldCharType="separate"/>
        </w:r>
        <w:r w:rsidR="003721F1">
          <w:rPr>
            <w:webHidden/>
          </w:rPr>
          <w:t>5</w:t>
        </w:r>
        <w:r w:rsidR="003721F1">
          <w:rPr>
            <w:webHidden/>
          </w:rPr>
          <w:fldChar w:fldCharType="end"/>
        </w:r>
      </w:hyperlink>
    </w:p>
    <w:p w14:paraId="6FAAE9CB" w14:textId="42DBB5F4" w:rsidR="003721F1" w:rsidRDefault="003D0CE6">
      <w:pPr>
        <w:pStyle w:val="TOC2"/>
        <w:rPr>
          <w:color w:val="auto"/>
          <w:sz w:val="22"/>
        </w:rPr>
      </w:pPr>
      <w:hyperlink w:anchor="_Toc62480188" w:history="1">
        <w:r w:rsidR="003721F1" w:rsidRPr="008E5231">
          <w:rPr>
            <w:rStyle w:val="Hyperlink"/>
            <w14:scene3d>
              <w14:camera w14:prst="orthographicFront"/>
              <w14:lightRig w14:rig="threePt" w14:dir="t">
                <w14:rot w14:lat="0" w14:lon="0" w14:rev="0"/>
              </w14:lightRig>
            </w14:scene3d>
          </w:rPr>
          <w:t>1.1.</w:t>
        </w:r>
        <w:r w:rsidR="003721F1">
          <w:rPr>
            <w:color w:val="auto"/>
            <w:sz w:val="22"/>
          </w:rPr>
          <w:tab/>
        </w:r>
        <w:r w:rsidR="003721F1" w:rsidRPr="008E5231">
          <w:rPr>
            <w:rStyle w:val="Hyperlink"/>
          </w:rPr>
          <w:t>Purpose and scope</w:t>
        </w:r>
        <w:r w:rsidR="003721F1">
          <w:rPr>
            <w:webHidden/>
          </w:rPr>
          <w:tab/>
        </w:r>
        <w:r w:rsidR="003721F1">
          <w:rPr>
            <w:webHidden/>
          </w:rPr>
          <w:fldChar w:fldCharType="begin"/>
        </w:r>
        <w:r w:rsidR="003721F1">
          <w:rPr>
            <w:webHidden/>
          </w:rPr>
          <w:instrText xml:space="preserve"> PAGEREF _Toc62480188 \h </w:instrText>
        </w:r>
        <w:r w:rsidR="003721F1">
          <w:rPr>
            <w:webHidden/>
          </w:rPr>
        </w:r>
        <w:r w:rsidR="003721F1">
          <w:rPr>
            <w:webHidden/>
          </w:rPr>
          <w:fldChar w:fldCharType="separate"/>
        </w:r>
        <w:r w:rsidR="003721F1">
          <w:rPr>
            <w:webHidden/>
          </w:rPr>
          <w:t>5</w:t>
        </w:r>
        <w:r w:rsidR="003721F1">
          <w:rPr>
            <w:webHidden/>
          </w:rPr>
          <w:fldChar w:fldCharType="end"/>
        </w:r>
      </w:hyperlink>
    </w:p>
    <w:p w14:paraId="0AD8094F" w14:textId="0CB6593C" w:rsidR="003721F1" w:rsidRDefault="003D0CE6">
      <w:pPr>
        <w:pStyle w:val="TOC2"/>
        <w:rPr>
          <w:color w:val="auto"/>
          <w:sz w:val="22"/>
        </w:rPr>
      </w:pPr>
      <w:hyperlink w:anchor="_Toc62480189" w:history="1">
        <w:r w:rsidR="003721F1" w:rsidRPr="008E5231">
          <w:rPr>
            <w:rStyle w:val="Hyperlink"/>
            <w14:scene3d>
              <w14:camera w14:prst="orthographicFront"/>
              <w14:lightRig w14:rig="threePt" w14:dir="t">
                <w14:rot w14:lat="0" w14:lon="0" w14:rev="0"/>
              </w14:lightRig>
            </w14:scene3d>
          </w:rPr>
          <w:t>1.2.</w:t>
        </w:r>
        <w:r w:rsidR="003721F1">
          <w:rPr>
            <w:color w:val="auto"/>
            <w:sz w:val="22"/>
          </w:rPr>
          <w:tab/>
        </w:r>
        <w:r w:rsidR="003721F1" w:rsidRPr="008E5231">
          <w:rPr>
            <w:rStyle w:val="Hyperlink"/>
          </w:rPr>
          <w:t>Definitions and interpretation</w:t>
        </w:r>
        <w:r w:rsidR="003721F1">
          <w:rPr>
            <w:webHidden/>
          </w:rPr>
          <w:tab/>
        </w:r>
        <w:r w:rsidR="003721F1">
          <w:rPr>
            <w:webHidden/>
          </w:rPr>
          <w:fldChar w:fldCharType="begin"/>
        </w:r>
        <w:r w:rsidR="003721F1">
          <w:rPr>
            <w:webHidden/>
          </w:rPr>
          <w:instrText xml:space="preserve"> PAGEREF _Toc62480189 \h </w:instrText>
        </w:r>
        <w:r w:rsidR="003721F1">
          <w:rPr>
            <w:webHidden/>
          </w:rPr>
        </w:r>
        <w:r w:rsidR="003721F1">
          <w:rPr>
            <w:webHidden/>
          </w:rPr>
          <w:fldChar w:fldCharType="separate"/>
        </w:r>
        <w:r w:rsidR="003721F1">
          <w:rPr>
            <w:webHidden/>
          </w:rPr>
          <w:t>5</w:t>
        </w:r>
        <w:r w:rsidR="003721F1">
          <w:rPr>
            <w:webHidden/>
          </w:rPr>
          <w:fldChar w:fldCharType="end"/>
        </w:r>
      </w:hyperlink>
    </w:p>
    <w:p w14:paraId="1CE9D938" w14:textId="1D0B6680" w:rsidR="003721F1" w:rsidRDefault="003D0CE6">
      <w:pPr>
        <w:pStyle w:val="TOC2"/>
        <w:rPr>
          <w:color w:val="auto"/>
          <w:sz w:val="22"/>
        </w:rPr>
      </w:pPr>
      <w:hyperlink w:anchor="_Toc62480190" w:history="1">
        <w:r w:rsidR="003721F1" w:rsidRPr="008E5231">
          <w:rPr>
            <w:rStyle w:val="Hyperlink"/>
            <w14:scene3d>
              <w14:camera w14:prst="orthographicFront"/>
              <w14:lightRig w14:rig="threePt" w14:dir="t">
                <w14:rot w14:lat="0" w14:lon="0" w14:rev="0"/>
              </w14:lightRig>
            </w14:scene3d>
          </w:rPr>
          <w:t>1.3.</w:t>
        </w:r>
        <w:r w:rsidR="003721F1">
          <w:rPr>
            <w:color w:val="auto"/>
            <w:sz w:val="22"/>
          </w:rPr>
          <w:tab/>
        </w:r>
        <w:r w:rsidR="003721F1" w:rsidRPr="008E5231">
          <w:rPr>
            <w:rStyle w:val="Hyperlink"/>
          </w:rPr>
          <w:t>Related documents</w:t>
        </w:r>
        <w:r w:rsidR="003721F1">
          <w:rPr>
            <w:webHidden/>
          </w:rPr>
          <w:tab/>
        </w:r>
        <w:r w:rsidR="003721F1">
          <w:rPr>
            <w:webHidden/>
          </w:rPr>
          <w:fldChar w:fldCharType="begin"/>
        </w:r>
        <w:r w:rsidR="003721F1">
          <w:rPr>
            <w:webHidden/>
          </w:rPr>
          <w:instrText xml:space="preserve"> PAGEREF _Toc62480190 \h </w:instrText>
        </w:r>
        <w:r w:rsidR="003721F1">
          <w:rPr>
            <w:webHidden/>
          </w:rPr>
        </w:r>
        <w:r w:rsidR="003721F1">
          <w:rPr>
            <w:webHidden/>
          </w:rPr>
          <w:fldChar w:fldCharType="separate"/>
        </w:r>
        <w:r w:rsidR="003721F1">
          <w:rPr>
            <w:webHidden/>
          </w:rPr>
          <w:t>7</w:t>
        </w:r>
        <w:r w:rsidR="003721F1">
          <w:rPr>
            <w:webHidden/>
          </w:rPr>
          <w:fldChar w:fldCharType="end"/>
        </w:r>
      </w:hyperlink>
    </w:p>
    <w:p w14:paraId="523EF1B0" w14:textId="13F5259F" w:rsidR="003721F1" w:rsidRDefault="003D0CE6">
      <w:pPr>
        <w:pStyle w:val="TOC1"/>
        <w:rPr>
          <w:rFonts w:eastAsiaTheme="minorEastAsia" w:cstheme="minorBidi"/>
          <w:b w:val="0"/>
          <w:caps w:val="0"/>
          <w:color w:val="auto"/>
          <w:sz w:val="22"/>
          <w:szCs w:val="22"/>
          <w:lang w:eastAsia="en-AU"/>
        </w:rPr>
      </w:pPr>
      <w:hyperlink w:anchor="_Toc62480191" w:history="1">
        <w:r w:rsidR="003721F1" w:rsidRPr="008E5231">
          <w:rPr>
            <w:rStyle w:val="Hyperlink"/>
            <w:lang w:eastAsia="en-AU"/>
          </w:rPr>
          <w:t>2.</w:t>
        </w:r>
        <w:r w:rsidR="003721F1">
          <w:rPr>
            <w:rFonts w:eastAsiaTheme="minorEastAsia" w:cstheme="minorBidi"/>
            <w:b w:val="0"/>
            <w:caps w:val="0"/>
            <w:color w:val="auto"/>
            <w:sz w:val="22"/>
            <w:szCs w:val="22"/>
            <w:lang w:eastAsia="en-AU"/>
          </w:rPr>
          <w:tab/>
        </w:r>
        <w:r w:rsidR="003721F1" w:rsidRPr="008E5231">
          <w:rPr>
            <w:rStyle w:val="Hyperlink"/>
            <w:lang w:eastAsia="en-AU"/>
          </w:rPr>
          <w:t>Uplift payments - general</w:t>
        </w:r>
        <w:r w:rsidR="003721F1">
          <w:rPr>
            <w:webHidden/>
          </w:rPr>
          <w:tab/>
        </w:r>
        <w:r w:rsidR="003721F1">
          <w:rPr>
            <w:webHidden/>
          </w:rPr>
          <w:fldChar w:fldCharType="begin"/>
        </w:r>
        <w:r w:rsidR="003721F1">
          <w:rPr>
            <w:webHidden/>
          </w:rPr>
          <w:instrText xml:space="preserve"> PAGEREF _Toc62480191 \h </w:instrText>
        </w:r>
        <w:r w:rsidR="003721F1">
          <w:rPr>
            <w:webHidden/>
          </w:rPr>
        </w:r>
        <w:r w:rsidR="003721F1">
          <w:rPr>
            <w:webHidden/>
          </w:rPr>
          <w:fldChar w:fldCharType="separate"/>
        </w:r>
        <w:r w:rsidR="003721F1">
          <w:rPr>
            <w:webHidden/>
          </w:rPr>
          <w:t>7</w:t>
        </w:r>
        <w:r w:rsidR="003721F1">
          <w:rPr>
            <w:webHidden/>
          </w:rPr>
          <w:fldChar w:fldCharType="end"/>
        </w:r>
      </w:hyperlink>
    </w:p>
    <w:p w14:paraId="53CADD8E" w14:textId="7F261291" w:rsidR="003721F1" w:rsidRDefault="003D0CE6">
      <w:pPr>
        <w:pStyle w:val="TOC2"/>
        <w:rPr>
          <w:color w:val="auto"/>
          <w:sz w:val="22"/>
        </w:rPr>
      </w:pPr>
      <w:hyperlink w:anchor="_Toc62480192" w:history="1">
        <w:r w:rsidR="003721F1" w:rsidRPr="008E5231">
          <w:rPr>
            <w:rStyle w:val="Hyperlink"/>
            <w:lang w:eastAsia="en-AU"/>
            <w14:scene3d>
              <w14:camera w14:prst="orthographicFront"/>
              <w14:lightRig w14:rig="threePt" w14:dir="t">
                <w14:rot w14:lat="0" w14:lon="0" w14:rev="0"/>
              </w14:lightRig>
            </w14:scene3d>
          </w:rPr>
          <w:t>2.1.</w:t>
        </w:r>
        <w:r w:rsidR="003721F1">
          <w:rPr>
            <w:color w:val="auto"/>
            <w:sz w:val="22"/>
          </w:rPr>
          <w:tab/>
        </w:r>
        <w:r w:rsidR="003721F1" w:rsidRPr="008E5231">
          <w:rPr>
            <w:rStyle w:val="Hyperlink"/>
            <w:lang w:eastAsia="en-AU"/>
          </w:rPr>
          <w:t>Total uplift payment amount and uplift payment quantity</w:t>
        </w:r>
        <w:r w:rsidR="003721F1">
          <w:rPr>
            <w:webHidden/>
          </w:rPr>
          <w:tab/>
        </w:r>
        <w:r w:rsidR="003721F1">
          <w:rPr>
            <w:webHidden/>
          </w:rPr>
          <w:fldChar w:fldCharType="begin"/>
        </w:r>
        <w:r w:rsidR="003721F1">
          <w:rPr>
            <w:webHidden/>
          </w:rPr>
          <w:instrText xml:space="preserve"> PAGEREF _Toc62480192 \h </w:instrText>
        </w:r>
        <w:r w:rsidR="003721F1">
          <w:rPr>
            <w:webHidden/>
          </w:rPr>
        </w:r>
        <w:r w:rsidR="003721F1">
          <w:rPr>
            <w:webHidden/>
          </w:rPr>
          <w:fldChar w:fldCharType="separate"/>
        </w:r>
        <w:r w:rsidR="003721F1">
          <w:rPr>
            <w:webHidden/>
          </w:rPr>
          <w:t>7</w:t>
        </w:r>
        <w:r w:rsidR="003721F1">
          <w:rPr>
            <w:webHidden/>
          </w:rPr>
          <w:fldChar w:fldCharType="end"/>
        </w:r>
      </w:hyperlink>
    </w:p>
    <w:p w14:paraId="28A26AA7" w14:textId="2230AF97" w:rsidR="003721F1" w:rsidRDefault="003D0CE6">
      <w:pPr>
        <w:pStyle w:val="TOC2"/>
        <w:rPr>
          <w:color w:val="auto"/>
          <w:sz w:val="22"/>
        </w:rPr>
      </w:pPr>
      <w:hyperlink w:anchor="_Toc62480193" w:history="1">
        <w:r w:rsidR="003721F1" w:rsidRPr="008E5231">
          <w:rPr>
            <w:rStyle w:val="Hyperlink"/>
            <w:lang w:eastAsia="en-AU"/>
            <w14:scene3d>
              <w14:camera w14:prst="orthographicFront"/>
              <w14:lightRig w14:rig="threePt" w14:dir="t">
                <w14:rot w14:lat="0" w14:lon="0" w14:rev="0"/>
              </w14:lightRig>
            </w14:scene3d>
          </w:rPr>
          <w:t>2.2.</w:t>
        </w:r>
        <w:r w:rsidR="003721F1">
          <w:rPr>
            <w:color w:val="auto"/>
            <w:sz w:val="22"/>
          </w:rPr>
          <w:tab/>
        </w:r>
        <w:r w:rsidR="003721F1" w:rsidRPr="008E5231">
          <w:rPr>
            <w:rStyle w:val="Hyperlink"/>
            <w:lang w:eastAsia="en-AU"/>
          </w:rPr>
          <w:t>Uplift Payment Categories</w:t>
        </w:r>
        <w:r w:rsidR="003721F1">
          <w:rPr>
            <w:webHidden/>
          </w:rPr>
          <w:tab/>
        </w:r>
        <w:r w:rsidR="003721F1">
          <w:rPr>
            <w:webHidden/>
          </w:rPr>
          <w:fldChar w:fldCharType="begin"/>
        </w:r>
        <w:r w:rsidR="003721F1">
          <w:rPr>
            <w:webHidden/>
          </w:rPr>
          <w:instrText xml:space="preserve"> PAGEREF _Toc62480193 \h </w:instrText>
        </w:r>
        <w:r w:rsidR="003721F1">
          <w:rPr>
            <w:webHidden/>
          </w:rPr>
        </w:r>
        <w:r w:rsidR="003721F1">
          <w:rPr>
            <w:webHidden/>
          </w:rPr>
          <w:fldChar w:fldCharType="separate"/>
        </w:r>
        <w:r w:rsidR="003721F1">
          <w:rPr>
            <w:webHidden/>
          </w:rPr>
          <w:t>7</w:t>
        </w:r>
        <w:r w:rsidR="003721F1">
          <w:rPr>
            <w:webHidden/>
          </w:rPr>
          <w:fldChar w:fldCharType="end"/>
        </w:r>
      </w:hyperlink>
    </w:p>
    <w:p w14:paraId="79E248E1" w14:textId="65B1B512" w:rsidR="003721F1" w:rsidRDefault="003D0CE6">
      <w:pPr>
        <w:pStyle w:val="TOC1"/>
        <w:rPr>
          <w:rFonts w:eastAsiaTheme="minorEastAsia" w:cstheme="minorBidi"/>
          <w:b w:val="0"/>
          <w:caps w:val="0"/>
          <w:color w:val="auto"/>
          <w:sz w:val="22"/>
          <w:szCs w:val="22"/>
          <w:lang w:eastAsia="en-AU"/>
        </w:rPr>
      </w:pPr>
      <w:hyperlink w:anchor="_Toc62480194" w:history="1">
        <w:r w:rsidR="003721F1" w:rsidRPr="008E5231">
          <w:rPr>
            <w:rStyle w:val="Hyperlink"/>
          </w:rPr>
          <w:t>3.</w:t>
        </w:r>
        <w:r w:rsidR="003721F1">
          <w:rPr>
            <w:rFonts w:eastAsiaTheme="minorEastAsia" w:cstheme="minorBidi"/>
            <w:b w:val="0"/>
            <w:caps w:val="0"/>
            <w:color w:val="auto"/>
            <w:sz w:val="22"/>
            <w:szCs w:val="22"/>
            <w:lang w:eastAsia="en-AU"/>
          </w:rPr>
          <w:tab/>
        </w:r>
        <w:r w:rsidR="003721F1" w:rsidRPr="008E5231">
          <w:rPr>
            <w:rStyle w:val="Hyperlink"/>
          </w:rPr>
          <w:t>Uplift amounts and quantities</w:t>
        </w:r>
        <w:r w:rsidR="003721F1">
          <w:rPr>
            <w:webHidden/>
          </w:rPr>
          <w:tab/>
        </w:r>
        <w:r w:rsidR="003721F1">
          <w:rPr>
            <w:webHidden/>
          </w:rPr>
          <w:fldChar w:fldCharType="begin"/>
        </w:r>
        <w:r w:rsidR="003721F1">
          <w:rPr>
            <w:webHidden/>
          </w:rPr>
          <w:instrText xml:space="preserve"> PAGEREF _Toc62480194 \h </w:instrText>
        </w:r>
        <w:r w:rsidR="003721F1">
          <w:rPr>
            <w:webHidden/>
          </w:rPr>
        </w:r>
        <w:r w:rsidR="003721F1">
          <w:rPr>
            <w:webHidden/>
          </w:rPr>
          <w:fldChar w:fldCharType="separate"/>
        </w:r>
        <w:r w:rsidR="003721F1">
          <w:rPr>
            <w:webHidden/>
          </w:rPr>
          <w:t>8</w:t>
        </w:r>
        <w:r w:rsidR="003721F1">
          <w:rPr>
            <w:webHidden/>
          </w:rPr>
          <w:fldChar w:fldCharType="end"/>
        </w:r>
      </w:hyperlink>
    </w:p>
    <w:p w14:paraId="7912D320" w14:textId="1BCEA2BF" w:rsidR="003721F1" w:rsidRDefault="003D0CE6">
      <w:pPr>
        <w:pStyle w:val="TOC2"/>
        <w:rPr>
          <w:color w:val="auto"/>
          <w:sz w:val="22"/>
        </w:rPr>
      </w:pPr>
      <w:hyperlink w:anchor="_Toc62480195" w:history="1">
        <w:r w:rsidR="003721F1" w:rsidRPr="008E5231">
          <w:rPr>
            <w:rStyle w:val="Hyperlink"/>
            <w14:scene3d>
              <w14:camera w14:prst="orthographicFront"/>
              <w14:lightRig w14:rig="threePt" w14:dir="t">
                <w14:rot w14:lat="0" w14:lon="0" w14:rev="0"/>
              </w14:lightRig>
            </w14:scene3d>
          </w:rPr>
          <w:t>3.1.</w:t>
        </w:r>
        <w:r w:rsidR="003721F1">
          <w:rPr>
            <w:color w:val="auto"/>
            <w:sz w:val="22"/>
          </w:rPr>
          <w:tab/>
        </w:r>
        <w:r w:rsidR="003721F1" w:rsidRPr="008E5231">
          <w:rPr>
            <w:rStyle w:val="Hyperlink"/>
          </w:rPr>
          <w:t>General</w:t>
        </w:r>
        <w:r w:rsidR="003721F1">
          <w:rPr>
            <w:webHidden/>
          </w:rPr>
          <w:tab/>
        </w:r>
        <w:r w:rsidR="003721F1">
          <w:rPr>
            <w:webHidden/>
          </w:rPr>
          <w:fldChar w:fldCharType="begin"/>
        </w:r>
        <w:r w:rsidR="003721F1">
          <w:rPr>
            <w:webHidden/>
          </w:rPr>
          <w:instrText xml:space="preserve"> PAGEREF _Toc62480195 \h </w:instrText>
        </w:r>
        <w:r w:rsidR="003721F1">
          <w:rPr>
            <w:webHidden/>
          </w:rPr>
        </w:r>
        <w:r w:rsidR="003721F1">
          <w:rPr>
            <w:webHidden/>
          </w:rPr>
          <w:fldChar w:fldCharType="separate"/>
        </w:r>
        <w:r w:rsidR="003721F1">
          <w:rPr>
            <w:webHidden/>
          </w:rPr>
          <w:t>8</w:t>
        </w:r>
        <w:r w:rsidR="003721F1">
          <w:rPr>
            <w:webHidden/>
          </w:rPr>
          <w:fldChar w:fldCharType="end"/>
        </w:r>
      </w:hyperlink>
    </w:p>
    <w:p w14:paraId="623A6856" w14:textId="79EAF2CC" w:rsidR="003721F1" w:rsidRDefault="003D0CE6">
      <w:pPr>
        <w:pStyle w:val="TOC2"/>
        <w:rPr>
          <w:color w:val="auto"/>
          <w:sz w:val="22"/>
        </w:rPr>
      </w:pPr>
      <w:hyperlink w:anchor="_Toc62480196" w:history="1">
        <w:r w:rsidR="003721F1" w:rsidRPr="008E5231">
          <w:rPr>
            <w:rStyle w:val="Hyperlink"/>
            <w14:scene3d>
              <w14:camera w14:prst="orthographicFront"/>
              <w14:lightRig w14:rig="threePt" w14:dir="t">
                <w14:rot w14:lat="0" w14:lon="0" w14:rev="0"/>
              </w14:lightRig>
            </w14:scene3d>
          </w:rPr>
          <w:t>3.2.</w:t>
        </w:r>
        <w:r w:rsidR="003721F1">
          <w:rPr>
            <w:color w:val="auto"/>
            <w:sz w:val="22"/>
          </w:rPr>
          <w:tab/>
        </w:r>
        <w:r w:rsidR="003721F1" w:rsidRPr="008E5231">
          <w:rPr>
            <w:rStyle w:val="Hyperlink"/>
          </w:rPr>
          <w:t>Determining the uplift amount for operating schedules</w:t>
        </w:r>
        <w:r w:rsidR="003721F1">
          <w:rPr>
            <w:webHidden/>
          </w:rPr>
          <w:tab/>
        </w:r>
        <w:r w:rsidR="003721F1">
          <w:rPr>
            <w:webHidden/>
          </w:rPr>
          <w:fldChar w:fldCharType="begin"/>
        </w:r>
        <w:r w:rsidR="003721F1">
          <w:rPr>
            <w:webHidden/>
          </w:rPr>
          <w:instrText xml:space="preserve"> PAGEREF _Toc62480196 \h </w:instrText>
        </w:r>
        <w:r w:rsidR="003721F1">
          <w:rPr>
            <w:webHidden/>
          </w:rPr>
        </w:r>
        <w:r w:rsidR="003721F1">
          <w:rPr>
            <w:webHidden/>
          </w:rPr>
          <w:fldChar w:fldCharType="separate"/>
        </w:r>
        <w:r w:rsidR="003721F1">
          <w:rPr>
            <w:webHidden/>
          </w:rPr>
          <w:t>9</w:t>
        </w:r>
        <w:r w:rsidR="003721F1">
          <w:rPr>
            <w:webHidden/>
          </w:rPr>
          <w:fldChar w:fldCharType="end"/>
        </w:r>
      </w:hyperlink>
    </w:p>
    <w:p w14:paraId="75C192DD" w14:textId="24F5AC72" w:rsidR="003721F1" w:rsidRDefault="003D0CE6">
      <w:pPr>
        <w:pStyle w:val="TOC2"/>
        <w:rPr>
          <w:color w:val="auto"/>
          <w:sz w:val="22"/>
        </w:rPr>
      </w:pPr>
      <w:hyperlink w:anchor="_Toc62480197" w:history="1">
        <w:r w:rsidR="003721F1" w:rsidRPr="008E5231">
          <w:rPr>
            <w:rStyle w:val="Hyperlink"/>
            <w14:scene3d>
              <w14:camera w14:prst="orthographicFront"/>
              <w14:lightRig w14:rig="threePt" w14:dir="t">
                <w14:rot w14:lat="0" w14:lon="0" w14:rev="0"/>
              </w14:lightRig>
            </w14:scene3d>
          </w:rPr>
          <w:t>3.3.</w:t>
        </w:r>
        <w:r w:rsidR="003721F1">
          <w:rPr>
            <w:color w:val="auto"/>
            <w:sz w:val="22"/>
          </w:rPr>
          <w:tab/>
        </w:r>
        <w:r w:rsidR="003721F1" w:rsidRPr="008E5231">
          <w:rPr>
            <w:rStyle w:val="Hyperlink"/>
          </w:rPr>
          <w:t>Determining the uplift payment quantities for each operating schedule</w:t>
        </w:r>
        <w:r w:rsidR="003721F1">
          <w:rPr>
            <w:webHidden/>
          </w:rPr>
          <w:tab/>
        </w:r>
        <w:r w:rsidR="003721F1">
          <w:rPr>
            <w:webHidden/>
          </w:rPr>
          <w:fldChar w:fldCharType="begin"/>
        </w:r>
        <w:r w:rsidR="003721F1">
          <w:rPr>
            <w:webHidden/>
          </w:rPr>
          <w:instrText xml:space="preserve"> PAGEREF _Toc62480197 \h </w:instrText>
        </w:r>
        <w:r w:rsidR="003721F1">
          <w:rPr>
            <w:webHidden/>
          </w:rPr>
        </w:r>
        <w:r w:rsidR="003721F1">
          <w:rPr>
            <w:webHidden/>
          </w:rPr>
          <w:fldChar w:fldCharType="separate"/>
        </w:r>
        <w:r w:rsidR="003721F1">
          <w:rPr>
            <w:webHidden/>
          </w:rPr>
          <w:t>10</w:t>
        </w:r>
        <w:r w:rsidR="003721F1">
          <w:rPr>
            <w:webHidden/>
          </w:rPr>
          <w:fldChar w:fldCharType="end"/>
        </w:r>
      </w:hyperlink>
    </w:p>
    <w:p w14:paraId="1E2C3082" w14:textId="3ACED8A7" w:rsidR="003721F1" w:rsidRDefault="003D0CE6">
      <w:pPr>
        <w:pStyle w:val="TOC1"/>
        <w:rPr>
          <w:rFonts w:eastAsiaTheme="minorEastAsia" w:cstheme="minorBidi"/>
          <w:b w:val="0"/>
          <w:caps w:val="0"/>
          <w:color w:val="auto"/>
          <w:sz w:val="22"/>
          <w:szCs w:val="22"/>
          <w:lang w:eastAsia="en-AU"/>
        </w:rPr>
      </w:pPr>
      <w:hyperlink w:anchor="_Toc62480198" w:history="1">
        <w:r w:rsidR="003721F1" w:rsidRPr="008E5231">
          <w:rPr>
            <w:rStyle w:val="Hyperlink"/>
          </w:rPr>
          <w:t>4.</w:t>
        </w:r>
        <w:r w:rsidR="003721F1">
          <w:rPr>
            <w:rFonts w:eastAsiaTheme="minorEastAsia" w:cstheme="minorBidi"/>
            <w:b w:val="0"/>
            <w:caps w:val="0"/>
            <w:color w:val="auto"/>
            <w:sz w:val="22"/>
            <w:szCs w:val="22"/>
            <w:lang w:eastAsia="en-AU"/>
          </w:rPr>
          <w:tab/>
        </w:r>
        <w:r w:rsidR="003721F1" w:rsidRPr="008E5231">
          <w:rPr>
            <w:rStyle w:val="Hyperlink"/>
            <w:rFonts w:eastAsia="Arial"/>
          </w:rPr>
          <w:t>DTS SP Uplift category</w:t>
        </w:r>
        <w:r w:rsidR="003721F1">
          <w:rPr>
            <w:webHidden/>
          </w:rPr>
          <w:tab/>
        </w:r>
        <w:r w:rsidR="003721F1">
          <w:rPr>
            <w:webHidden/>
          </w:rPr>
          <w:fldChar w:fldCharType="begin"/>
        </w:r>
        <w:r w:rsidR="003721F1">
          <w:rPr>
            <w:webHidden/>
          </w:rPr>
          <w:instrText xml:space="preserve"> PAGEREF _Toc62480198 \h </w:instrText>
        </w:r>
        <w:r w:rsidR="003721F1">
          <w:rPr>
            <w:webHidden/>
          </w:rPr>
        </w:r>
        <w:r w:rsidR="003721F1">
          <w:rPr>
            <w:webHidden/>
          </w:rPr>
          <w:fldChar w:fldCharType="separate"/>
        </w:r>
        <w:r w:rsidR="003721F1">
          <w:rPr>
            <w:webHidden/>
          </w:rPr>
          <w:t>10</w:t>
        </w:r>
        <w:r w:rsidR="003721F1">
          <w:rPr>
            <w:webHidden/>
          </w:rPr>
          <w:fldChar w:fldCharType="end"/>
        </w:r>
      </w:hyperlink>
    </w:p>
    <w:p w14:paraId="204DA765" w14:textId="055AA106" w:rsidR="003721F1" w:rsidRDefault="003D0CE6">
      <w:pPr>
        <w:pStyle w:val="TOC2"/>
        <w:rPr>
          <w:color w:val="auto"/>
          <w:sz w:val="22"/>
        </w:rPr>
      </w:pPr>
      <w:hyperlink w:anchor="_Toc62480199" w:history="1">
        <w:r w:rsidR="003721F1" w:rsidRPr="008E5231">
          <w:rPr>
            <w:rStyle w:val="Hyperlink"/>
            <w14:scene3d>
              <w14:camera w14:prst="orthographicFront"/>
              <w14:lightRig w14:rig="threePt" w14:dir="t">
                <w14:rot w14:lat="0" w14:lon="0" w14:rev="0"/>
              </w14:lightRig>
            </w14:scene3d>
          </w:rPr>
          <w:t>4.1.</w:t>
        </w:r>
        <w:r w:rsidR="003721F1">
          <w:rPr>
            <w:color w:val="auto"/>
            <w:sz w:val="22"/>
          </w:rPr>
          <w:tab/>
        </w:r>
        <w:r w:rsidR="003721F1" w:rsidRPr="008E5231">
          <w:rPr>
            <w:rStyle w:val="Hyperlink"/>
          </w:rPr>
          <w:t>General</w:t>
        </w:r>
        <w:r w:rsidR="003721F1">
          <w:rPr>
            <w:webHidden/>
          </w:rPr>
          <w:tab/>
        </w:r>
        <w:r w:rsidR="003721F1">
          <w:rPr>
            <w:webHidden/>
          </w:rPr>
          <w:fldChar w:fldCharType="begin"/>
        </w:r>
        <w:r w:rsidR="003721F1">
          <w:rPr>
            <w:webHidden/>
          </w:rPr>
          <w:instrText xml:space="preserve"> PAGEREF _Toc62480199 \h </w:instrText>
        </w:r>
        <w:r w:rsidR="003721F1">
          <w:rPr>
            <w:webHidden/>
          </w:rPr>
        </w:r>
        <w:r w:rsidR="003721F1">
          <w:rPr>
            <w:webHidden/>
          </w:rPr>
          <w:fldChar w:fldCharType="separate"/>
        </w:r>
        <w:r w:rsidR="003721F1">
          <w:rPr>
            <w:webHidden/>
          </w:rPr>
          <w:t>10</w:t>
        </w:r>
        <w:r w:rsidR="003721F1">
          <w:rPr>
            <w:webHidden/>
          </w:rPr>
          <w:fldChar w:fldCharType="end"/>
        </w:r>
      </w:hyperlink>
    </w:p>
    <w:p w14:paraId="5E1BA20F" w14:textId="14AB0C5C" w:rsidR="003721F1" w:rsidRDefault="003D0CE6">
      <w:pPr>
        <w:pStyle w:val="TOC2"/>
        <w:rPr>
          <w:color w:val="auto"/>
          <w:sz w:val="22"/>
        </w:rPr>
      </w:pPr>
      <w:hyperlink w:anchor="_Toc62480200" w:history="1">
        <w:r w:rsidR="003721F1" w:rsidRPr="008E5231">
          <w:rPr>
            <w:rStyle w:val="Hyperlink"/>
            <w14:scene3d>
              <w14:camera w14:prst="orthographicFront"/>
              <w14:lightRig w14:rig="threePt" w14:dir="t">
                <w14:rot w14:lat="0" w14:lon="0" w14:rev="0"/>
              </w14:lightRig>
            </w14:scene3d>
          </w:rPr>
          <w:t>4.2.</w:t>
        </w:r>
        <w:r w:rsidR="003721F1">
          <w:rPr>
            <w:color w:val="auto"/>
            <w:sz w:val="22"/>
          </w:rPr>
          <w:tab/>
        </w:r>
        <w:r w:rsidR="003721F1" w:rsidRPr="008E5231">
          <w:rPr>
            <w:rStyle w:val="Hyperlink"/>
          </w:rPr>
          <w:t>Determining the DTS SP Uplift quantity</w:t>
        </w:r>
        <w:r w:rsidR="003721F1">
          <w:rPr>
            <w:webHidden/>
          </w:rPr>
          <w:tab/>
        </w:r>
        <w:r w:rsidR="003721F1">
          <w:rPr>
            <w:webHidden/>
          </w:rPr>
          <w:fldChar w:fldCharType="begin"/>
        </w:r>
        <w:r w:rsidR="003721F1">
          <w:rPr>
            <w:webHidden/>
          </w:rPr>
          <w:instrText xml:space="preserve"> PAGEREF _Toc62480200 \h </w:instrText>
        </w:r>
        <w:r w:rsidR="003721F1">
          <w:rPr>
            <w:webHidden/>
          </w:rPr>
        </w:r>
        <w:r w:rsidR="003721F1">
          <w:rPr>
            <w:webHidden/>
          </w:rPr>
          <w:fldChar w:fldCharType="separate"/>
        </w:r>
        <w:r w:rsidR="003721F1">
          <w:rPr>
            <w:webHidden/>
          </w:rPr>
          <w:t>11</w:t>
        </w:r>
        <w:r w:rsidR="003721F1">
          <w:rPr>
            <w:webHidden/>
          </w:rPr>
          <w:fldChar w:fldCharType="end"/>
        </w:r>
      </w:hyperlink>
    </w:p>
    <w:p w14:paraId="65250784" w14:textId="232E3710" w:rsidR="003721F1" w:rsidRDefault="003D0CE6">
      <w:pPr>
        <w:pStyle w:val="TOC2"/>
        <w:rPr>
          <w:color w:val="auto"/>
          <w:sz w:val="22"/>
        </w:rPr>
      </w:pPr>
      <w:hyperlink w:anchor="_Toc62480201" w:history="1">
        <w:r w:rsidR="003721F1" w:rsidRPr="008E5231">
          <w:rPr>
            <w:rStyle w:val="Hyperlink"/>
            <w14:scene3d>
              <w14:camera w14:prst="orthographicFront"/>
              <w14:lightRig w14:rig="threePt" w14:dir="t">
                <w14:rot w14:lat="0" w14:lon="0" w14:rev="0"/>
              </w14:lightRig>
            </w14:scene3d>
          </w:rPr>
          <w:t>4.3.</w:t>
        </w:r>
        <w:r w:rsidR="003721F1">
          <w:rPr>
            <w:color w:val="auto"/>
            <w:sz w:val="22"/>
          </w:rPr>
          <w:tab/>
        </w:r>
        <w:r w:rsidR="003721F1" w:rsidRPr="008E5231">
          <w:rPr>
            <w:rStyle w:val="Hyperlink"/>
          </w:rPr>
          <w:t>Determining the DTS SP Uplift amount</w:t>
        </w:r>
        <w:r w:rsidR="003721F1">
          <w:rPr>
            <w:webHidden/>
          </w:rPr>
          <w:tab/>
        </w:r>
        <w:r w:rsidR="003721F1">
          <w:rPr>
            <w:webHidden/>
          </w:rPr>
          <w:fldChar w:fldCharType="begin"/>
        </w:r>
        <w:r w:rsidR="003721F1">
          <w:rPr>
            <w:webHidden/>
          </w:rPr>
          <w:instrText xml:space="preserve"> PAGEREF _Toc62480201 \h </w:instrText>
        </w:r>
        <w:r w:rsidR="003721F1">
          <w:rPr>
            <w:webHidden/>
          </w:rPr>
        </w:r>
        <w:r w:rsidR="003721F1">
          <w:rPr>
            <w:webHidden/>
          </w:rPr>
          <w:fldChar w:fldCharType="separate"/>
        </w:r>
        <w:r w:rsidR="003721F1">
          <w:rPr>
            <w:webHidden/>
          </w:rPr>
          <w:t>13</w:t>
        </w:r>
        <w:r w:rsidR="003721F1">
          <w:rPr>
            <w:webHidden/>
          </w:rPr>
          <w:fldChar w:fldCharType="end"/>
        </w:r>
      </w:hyperlink>
    </w:p>
    <w:p w14:paraId="589E4CA3" w14:textId="7BD895FF" w:rsidR="003721F1" w:rsidRDefault="003D0CE6">
      <w:pPr>
        <w:pStyle w:val="TOC1"/>
        <w:rPr>
          <w:rFonts w:eastAsiaTheme="minorEastAsia" w:cstheme="minorBidi"/>
          <w:b w:val="0"/>
          <w:caps w:val="0"/>
          <w:color w:val="auto"/>
          <w:sz w:val="22"/>
          <w:szCs w:val="22"/>
          <w:lang w:eastAsia="en-AU"/>
        </w:rPr>
      </w:pPr>
      <w:hyperlink w:anchor="_Toc62480202" w:history="1">
        <w:r w:rsidR="003721F1" w:rsidRPr="008E5231">
          <w:rPr>
            <w:rStyle w:val="Hyperlink"/>
            <w:rFonts w:eastAsia="Arial"/>
          </w:rPr>
          <w:t>5.</w:t>
        </w:r>
        <w:r w:rsidR="003721F1">
          <w:rPr>
            <w:rFonts w:eastAsiaTheme="minorEastAsia" w:cstheme="minorBidi"/>
            <w:b w:val="0"/>
            <w:caps w:val="0"/>
            <w:color w:val="auto"/>
            <w:sz w:val="22"/>
            <w:szCs w:val="22"/>
            <w:lang w:eastAsia="en-AU"/>
          </w:rPr>
          <w:tab/>
        </w:r>
        <w:r w:rsidR="003721F1" w:rsidRPr="008E5231">
          <w:rPr>
            <w:rStyle w:val="Hyperlink"/>
          </w:rPr>
          <w:t>D</w:t>
        </w:r>
        <w:r w:rsidR="003721F1" w:rsidRPr="008E5231">
          <w:rPr>
            <w:rStyle w:val="Hyperlink"/>
            <w:rFonts w:eastAsia="Arial"/>
          </w:rPr>
          <w:t>TS SP event liability cap exceedance uplift category</w:t>
        </w:r>
        <w:r w:rsidR="003721F1">
          <w:rPr>
            <w:webHidden/>
          </w:rPr>
          <w:tab/>
        </w:r>
        <w:r w:rsidR="003721F1">
          <w:rPr>
            <w:webHidden/>
          </w:rPr>
          <w:fldChar w:fldCharType="begin"/>
        </w:r>
        <w:r w:rsidR="003721F1">
          <w:rPr>
            <w:webHidden/>
          </w:rPr>
          <w:instrText xml:space="preserve"> PAGEREF _Toc62480202 \h </w:instrText>
        </w:r>
        <w:r w:rsidR="003721F1">
          <w:rPr>
            <w:webHidden/>
          </w:rPr>
        </w:r>
        <w:r w:rsidR="003721F1">
          <w:rPr>
            <w:webHidden/>
          </w:rPr>
          <w:fldChar w:fldCharType="separate"/>
        </w:r>
        <w:r w:rsidR="003721F1">
          <w:rPr>
            <w:webHidden/>
          </w:rPr>
          <w:t>14</w:t>
        </w:r>
        <w:r w:rsidR="003721F1">
          <w:rPr>
            <w:webHidden/>
          </w:rPr>
          <w:fldChar w:fldCharType="end"/>
        </w:r>
      </w:hyperlink>
    </w:p>
    <w:p w14:paraId="4BEEE274" w14:textId="4BDDEB1D" w:rsidR="003721F1" w:rsidRDefault="003D0CE6">
      <w:pPr>
        <w:pStyle w:val="TOC2"/>
        <w:rPr>
          <w:color w:val="auto"/>
          <w:sz w:val="22"/>
        </w:rPr>
      </w:pPr>
      <w:hyperlink w:anchor="_Toc62480203" w:history="1">
        <w:r w:rsidR="003721F1" w:rsidRPr="008E5231">
          <w:rPr>
            <w:rStyle w:val="Hyperlink"/>
            <w14:scene3d>
              <w14:camera w14:prst="orthographicFront"/>
              <w14:lightRig w14:rig="threePt" w14:dir="t">
                <w14:rot w14:lat="0" w14:lon="0" w14:rev="0"/>
              </w14:lightRig>
            </w14:scene3d>
          </w:rPr>
          <w:t>5.1.</w:t>
        </w:r>
        <w:r w:rsidR="003721F1">
          <w:rPr>
            <w:color w:val="auto"/>
            <w:sz w:val="22"/>
          </w:rPr>
          <w:tab/>
        </w:r>
        <w:r w:rsidR="003721F1" w:rsidRPr="008E5231">
          <w:rPr>
            <w:rStyle w:val="Hyperlink"/>
          </w:rPr>
          <w:t>General</w:t>
        </w:r>
        <w:r w:rsidR="003721F1">
          <w:rPr>
            <w:webHidden/>
          </w:rPr>
          <w:tab/>
        </w:r>
        <w:r w:rsidR="003721F1">
          <w:rPr>
            <w:webHidden/>
          </w:rPr>
          <w:fldChar w:fldCharType="begin"/>
        </w:r>
        <w:r w:rsidR="003721F1">
          <w:rPr>
            <w:webHidden/>
          </w:rPr>
          <w:instrText xml:space="preserve"> PAGEREF _Toc62480203 \h </w:instrText>
        </w:r>
        <w:r w:rsidR="003721F1">
          <w:rPr>
            <w:webHidden/>
          </w:rPr>
        </w:r>
        <w:r w:rsidR="003721F1">
          <w:rPr>
            <w:webHidden/>
          </w:rPr>
          <w:fldChar w:fldCharType="separate"/>
        </w:r>
        <w:r w:rsidR="003721F1">
          <w:rPr>
            <w:webHidden/>
          </w:rPr>
          <w:t>14</w:t>
        </w:r>
        <w:r w:rsidR="003721F1">
          <w:rPr>
            <w:webHidden/>
          </w:rPr>
          <w:fldChar w:fldCharType="end"/>
        </w:r>
      </w:hyperlink>
    </w:p>
    <w:p w14:paraId="267262CB" w14:textId="5682DB24" w:rsidR="003721F1" w:rsidRDefault="003D0CE6">
      <w:pPr>
        <w:pStyle w:val="TOC2"/>
        <w:rPr>
          <w:color w:val="auto"/>
          <w:sz w:val="22"/>
        </w:rPr>
      </w:pPr>
      <w:hyperlink w:anchor="_Toc62480204" w:history="1">
        <w:r w:rsidR="003721F1" w:rsidRPr="008E5231">
          <w:rPr>
            <w:rStyle w:val="Hyperlink"/>
            <w14:scene3d>
              <w14:camera w14:prst="orthographicFront"/>
              <w14:lightRig w14:rig="threePt" w14:dir="t">
                <w14:rot w14:lat="0" w14:lon="0" w14:rev="0"/>
              </w14:lightRig>
            </w14:scene3d>
          </w:rPr>
          <w:t>5.2.</w:t>
        </w:r>
        <w:r w:rsidR="003721F1">
          <w:rPr>
            <w:color w:val="auto"/>
            <w:sz w:val="22"/>
          </w:rPr>
          <w:tab/>
        </w:r>
        <w:r w:rsidR="003721F1" w:rsidRPr="008E5231">
          <w:rPr>
            <w:rStyle w:val="Hyperlink"/>
          </w:rPr>
          <w:t>Determining DTS SP event liability cap exceedance amount</w:t>
        </w:r>
        <w:r w:rsidR="003721F1">
          <w:rPr>
            <w:webHidden/>
          </w:rPr>
          <w:tab/>
        </w:r>
        <w:r w:rsidR="003721F1">
          <w:rPr>
            <w:webHidden/>
          </w:rPr>
          <w:fldChar w:fldCharType="begin"/>
        </w:r>
        <w:r w:rsidR="003721F1">
          <w:rPr>
            <w:webHidden/>
          </w:rPr>
          <w:instrText xml:space="preserve"> PAGEREF _Toc62480204 \h </w:instrText>
        </w:r>
        <w:r w:rsidR="003721F1">
          <w:rPr>
            <w:webHidden/>
          </w:rPr>
        </w:r>
        <w:r w:rsidR="003721F1">
          <w:rPr>
            <w:webHidden/>
          </w:rPr>
          <w:fldChar w:fldCharType="separate"/>
        </w:r>
        <w:r w:rsidR="003721F1">
          <w:rPr>
            <w:webHidden/>
          </w:rPr>
          <w:t>14</w:t>
        </w:r>
        <w:r w:rsidR="003721F1">
          <w:rPr>
            <w:webHidden/>
          </w:rPr>
          <w:fldChar w:fldCharType="end"/>
        </w:r>
      </w:hyperlink>
    </w:p>
    <w:p w14:paraId="0D44D9BE" w14:textId="5BABB0B4" w:rsidR="003721F1" w:rsidRDefault="003D0CE6">
      <w:pPr>
        <w:pStyle w:val="TOC2"/>
        <w:rPr>
          <w:color w:val="auto"/>
          <w:sz w:val="22"/>
        </w:rPr>
      </w:pPr>
      <w:hyperlink w:anchor="_Toc62480205" w:history="1">
        <w:r w:rsidR="003721F1" w:rsidRPr="008E5231">
          <w:rPr>
            <w:rStyle w:val="Hyperlink"/>
            <w14:scene3d>
              <w14:camera w14:prst="orthographicFront"/>
              <w14:lightRig w14:rig="threePt" w14:dir="t">
                <w14:rot w14:lat="0" w14:lon="0" w14:rev="0"/>
              </w14:lightRig>
            </w14:scene3d>
          </w:rPr>
          <w:t>5.3.</w:t>
        </w:r>
        <w:r w:rsidR="003721F1">
          <w:rPr>
            <w:color w:val="auto"/>
            <w:sz w:val="22"/>
          </w:rPr>
          <w:tab/>
        </w:r>
        <w:r w:rsidR="003721F1" w:rsidRPr="008E5231">
          <w:rPr>
            <w:rStyle w:val="Hyperlink"/>
          </w:rPr>
          <w:t>Estimate the DTS SP event liability cap exceedance quantity</w:t>
        </w:r>
        <w:r w:rsidR="003721F1">
          <w:rPr>
            <w:webHidden/>
          </w:rPr>
          <w:tab/>
        </w:r>
        <w:r w:rsidR="003721F1">
          <w:rPr>
            <w:webHidden/>
          </w:rPr>
          <w:fldChar w:fldCharType="begin"/>
        </w:r>
        <w:r w:rsidR="003721F1">
          <w:rPr>
            <w:webHidden/>
          </w:rPr>
          <w:instrText xml:space="preserve"> PAGEREF _Toc62480205 \h </w:instrText>
        </w:r>
        <w:r w:rsidR="003721F1">
          <w:rPr>
            <w:webHidden/>
          </w:rPr>
        </w:r>
        <w:r w:rsidR="003721F1">
          <w:rPr>
            <w:webHidden/>
          </w:rPr>
          <w:fldChar w:fldCharType="separate"/>
        </w:r>
        <w:r w:rsidR="003721F1">
          <w:rPr>
            <w:webHidden/>
          </w:rPr>
          <w:t>14</w:t>
        </w:r>
        <w:r w:rsidR="003721F1">
          <w:rPr>
            <w:webHidden/>
          </w:rPr>
          <w:fldChar w:fldCharType="end"/>
        </w:r>
      </w:hyperlink>
    </w:p>
    <w:p w14:paraId="25621941" w14:textId="2553B0F9" w:rsidR="003721F1" w:rsidRDefault="003D0CE6">
      <w:pPr>
        <w:pStyle w:val="TOC1"/>
        <w:rPr>
          <w:rFonts w:eastAsiaTheme="minorEastAsia" w:cstheme="minorBidi"/>
          <w:b w:val="0"/>
          <w:caps w:val="0"/>
          <w:color w:val="auto"/>
          <w:sz w:val="22"/>
          <w:szCs w:val="22"/>
          <w:lang w:eastAsia="en-AU"/>
        </w:rPr>
      </w:pPr>
      <w:hyperlink w:anchor="_Toc62480206" w:history="1">
        <w:r w:rsidR="003721F1" w:rsidRPr="008E5231">
          <w:rPr>
            <w:rStyle w:val="Hyperlink"/>
            <w:rFonts w:eastAsia="Arial"/>
          </w:rPr>
          <w:t>6.</w:t>
        </w:r>
        <w:r w:rsidR="003721F1">
          <w:rPr>
            <w:rFonts w:eastAsiaTheme="minorEastAsia" w:cstheme="minorBidi"/>
            <w:b w:val="0"/>
            <w:caps w:val="0"/>
            <w:color w:val="auto"/>
            <w:sz w:val="22"/>
            <w:szCs w:val="22"/>
            <w:lang w:eastAsia="en-AU"/>
          </w:rPr>
          <w:tab/>
        </w:r>
        <w:r w:rsidR="003721F1" w:rsidRPr="008E5231">
          <w:rPr>
            <w:rStyle w:val="Hyperlink"/>
            <w:lang w:eastAsia="en-AU"/>
          </w:rPr>
          <w:t xml:space="preserve">DTS SP annual liability cap exceedance uplift </w:t>
        </w:r>
        <w:r w:rsidR="003721F1" w:rsidRPr="008E5231">
          <w:rPr>
            <w:rStyle w:val="Hyperlink"/>
            <w:rFonts w:eastAsia="Arial"/>
          </w:rPr>
          <w:t>category</w:t>
        </w:r>
        <w:r w:rsidR="003721F1">
          <w:rPr>
            <w:webHidden/>
          </w:rPr>
          <w:tab/>
        </w:r>
        <w:r w:rsidR="003721F1">
          <w:rPr>
            <w:webHidden/>
          </w:rPr>
          <w:fldChar w:fldCharType="begin"/>
        </w:r>
        <w:r w:rsidR="003721F1">
          <w:rPr>
            <w:webHidden/>
          </w:rPr>
          <w:instrText xml:space="preserve"> PAGEREF _Toc62480206 \h </w:instrText>
        </w:r>
        <w:r w:rsidR="003721F1">
          <w:rPr>
            <w:webHidden/>
          </w:rPr>
        </w:r>
        <w:r w:rsidR="003721F1">
          <w:rPr>
            <w:webHidden/>
          </w:rPr>
          <w:fldChar w:fldCharType="separate"/>
        </w:r>
        <w:r w:rsidR="003721F1">
          <w:rPr>
            <w:webHidden/>
          </w:rPr>
          <w:t>14</w:t>
        </w:r>
        <w:r w:rsidR="003721F1">
          <w:rPr>
            <w:webHidden/>
          </w:rPr>
          <w:fldChar w:fldCharType="end"/>
        </w:r>
      </w:hyperlink>
    </w:p>
    <w:p w14:paraId="3F6F942D" w14:textId="28641534" w:rsidR="003721F1" w:rsidRDefault="003D0CE6">
      <w:pPr>
        <w:pStyle w:val="TOC2"/>
        <w:rPr>
          <w:color w:val="auto"/>
          <w:sz w:val="22"/>
        </w:rPr>
      </w:pPr>
      <w:hyperlink w:anchor="_Toc62480207" w:history="1">
        <w:r w:rsidR="003721F1" w:rsidRPr="008E5231">
          <w:rPr>
            <w:rStyle w:val="Hyperlink"/>
            <w14:scene3d>
              <w14:camera w14:prst="orthographicFront"/>
              <w14:lightRig w14:rig="threePt" w14:dir="t">
                <w14:rot w14:lat="0" w14:lon="0" w14:rev="0"/>
              </w14:lightRig>
            </w14:scene3d>
          </w:rPr>
          <w:t>6.1.</w:t>
        </w:r>
        <w:r w:rsidR="003721F1">
          <w:rPr>
            <w:color w:val="auto"/>
            <w:sz w:val="22"/>
          </w:rPr>
          <w:tab/>
        </w:r>
        <w:r w:rsidR="003721F1" w:rsidRPr="008E5231">
          <w:rPr>
            <w:rStyle w:val="Hyperlink"/>
          </w:rPr>
          <w:t>General</w:t>
        </w:r>
        <w:r w:rsidR="003721F1">
          <w:rPr>
            <w:webHidden/>
          </w:rPr>
          <w:tab/>
        </w:r>
        <w:r w:rsidR="003721F1">
          <w:rPr>
            <w:webHidden/>
          </w:rPr>
          <w:fldChar w:fldCharType="begin"/>
        </w:r>
        <w:r w:rsidR="003721F1">
          <w:rPr>
            <w:webHidden/>
          </w:rPr>
          <w:instrText xml:space="preserve"> PAGEREF _Toc62480207 \h </w:instrText>
        </w:r>
        <w:r w:rsidR="003721F1">
          <w:rPr>
            <w:webHidden/>
          </w:rPr>
        </w:r>
        <w:r w:rsidR="003721F1">
          <w:rPr>
            <w:webHidden/>
          </w:rPr>
          <w:fldChar w:fldCharType="separate"/>
        </w:r>
        <w:r w:rsidR="003721F1">
          <w:rPr>
            <w:webHidden/>
          </w:rPr>
          <w:t>14</w:t>
        </w:r>
        <w:r w:rsidR="003721F1">
          <w:rPr>
            <w:webHidden/>
          </w:rPr>
          <w:fldChar w:fldCharType="end"/>
        </w:r>
      </w:hyperlink>
    </w:p>
    <w:p w14:paraId="369459B7" w14:textId="6D110BAF" w:rsidR="003721F1" w:rsidRDefault="003D0CE6">
      <w:pPr>
        <w:pStyle w:val="TOC2"/>
        <w:rPr>
          <w:color w:val="auto"/>
          <w:sz w:val="22"/>
        </w:rPr>
      </w:pPr>
      <w:hyperlink w:anchor="_Toc62480208" w:history="1">
        <w:r w:rsidR="003721F1" w:rsidRPr="008E5231">
          <w:rPr>
            <w:rStyle w:val="Hyperlink"/>
            <w14:scene3d>
              <w14:camera w14:prst="orthographicFront"/>
              <w14:lightRig w14:rig="threePt" w14:dir="t">
                <w14:rot w14:lat="0" w14:lon="0" w14:rev="0"/>
              </w14:lightRig>
            </w14:scene3d>
          </w:rPr>
          <w:t>6.2.</w:t>
        </w:r>
        <w:r w:rsidR="003721F1">
          <w:rPr>
            <w:color w:val="auto"/>
            <w:sz w:val="22"/>
          </w:rPr>
          <w:tab/>
        </w:r>
        <w:r w:rsidR="003721F1" w:rsidRPr="008E5231">
          <w:rPr>
            <w:rStyle w:val="Hyperlink"/>
          </w:rPr>
          <w:t>Determining DTS SP annual liability cap exceedance amount</w:t>
        </w:r>
        <w:r w:rsidR="003721F1">
          <w:rPr>
            <w:webHidden/>
          </w:rPr>
          <w:tab/>
        </w:r>
        <w:r w:rsidR="003721F1">
          <w:rPr>
            <w:webHidden/>
          </w:rPr>
          <w:fldChar w:fldCharType="begin"/>
        </w:r>
        <w:r w:rsidR="003721F1">
          <w:rPr>
            <w:webHidden/>
          </w:rPr>
          <w:instrText xml:space="preserve"> PAGEREF _Toc62480208 \h </w:instrText>
        </w:r>
        <w:r w:rsidR="003721F1">
          <w:rPr>
            <w:webHidden/>
          </w:rPr>
        </w:r>
        <w:r w:rsidR="003721F1">
          <w:rPr>
            <w:webHidden/>
          </w:rPr>
          <w:fldChar w:fldCharType="separate"/>
        </w:r>
        <w:r w:rsidR="003721F1">
          <w:rPr>
            <w:webHidden/>
          </w:rPr>
          <w:t>14</w:t>
        </w:r>
        <w:r w:rsidR="003721F1">
          <w:rPr>
            <w:webHidden/>
          </w:rPr>
          <w:fldChar w:fldCharType="end"/>
        </w:r>
      </w:hyperlink>
    </w:p>
    <w:p w14:paraId="74429360" w14:textId="3B4CE977" w:rsidR="003721F1" w:rsidRDefault="003D0CE6">
      <w:pPr>
        <w:pStyle w:val="TOC2"/>
        <w:rPr>
          <w:color w:val="auto"/>
          <w:sz w:val="22"/>
        </w:rPr>
      </w:pPr>
      <w:hyperlink w:anchor="_Toc62480209" w:history="1">
        <w:r w:rsidR="003721F1" w:rsidRPr="008E5231">
          <w:rPr>
            <w:rStyle w:val="Hyperlink"/>
            <w14:scene3d>
              <w14:camera w14:prst="orthographicFront"/>
              <w14:lightRig w14:rig="threePt" w14:dir="t">
                <w14:rot w14:lat="0" w14:lon="0" w14:rev="0"/>
              </w14:lightRig>
            </w14:scene3d>
          </w:rPr>
          <w:t>6.3.</w:t>
        </w:r>
        <w:r w:rsidR="003721F1">
          <w:rPr>
            <w:color w:val="auto"/>
            <w:sz w:val="22"/>
          </w:rPr>
          <w:tab/>
        </w:r>
        <w:r w:rsidR="003721F1" w:rsidRPr="008E5231">
          <w:rPr>
            <w:rStyle w:val="Hyperlink"/>
          </w:rPr>
          <w:t>Estimate the DTS SP annual liability cap exceedance quantity</w:t>
        </w:r>
        <w:r w:rsidR="003721F1">
          <w:rPr>
            <w:webHidden/>
          </w:rPr>
          <w:tab/>
        </w:r>
        <w:r w:rsidR="003721F1">
          <w:rPr>
            <w:webHidden/>
          </w:rPr>
          <w:fldChar w:fldCharType="begin"/>
        </w:r>
        <w:r w:rsidR="003721F1">
          <w:rPr>
            <w:webHidden/>
          </w:rPr>
          <w:instrText xml:space="preserve"> PAGEREF _Toc62480209 \h </w:instrText>
        </w:r>
        <w:r w:rsidR="003721F1">
          <w:rPr>
            <w:webHidden/>
          </w:rPr>
        </w:r>
        <w:r w:rsidR="003721F1">
          <w:rPr>
            <w:webHidden/>
          </w:rPr>
          <w:fldChar w:fldCharType="separate"/>
        </w:r>
        <w:r w:rsidR="003721F1">
          <w:rPr>
            <w:webHidden/>
          </w:rPr>
          <w:t>15</w:t>
        </w:r>
        <w:r w:rsidR="003721F1">
          <w:rPr>
            <w:webHidden/>
          </w:rPr>
          <w:fldChar w:fldCharType="end"/>
        </w:r>
      </w:hyperlink>
    </w:p>
    <w:p w14:paraId="391CB82C" w14:textId="62503C19" w:rsidR="003721F1" w:rsidRDefault="003D0CE6">
      <w:pPr>
        <w:pStyle w:val="TOC1"/>
        <w:rPr>
          <w:rFonts w:eastAsiaTheme="minorEastAsia" w:cstheme="minorBidi"/>
          <w:b w:val="0"/>
          <w:caps w:val="0"/>
          <w:color w:val="auto"/>
          <w:sz w:val="22"/>
          <w:szCs w:val="22"/>
          <w:lang w:eastAsia="en-AU"/>
        </w:rPr>
      </w:pPr>
      <w:hyperlink w:anchor="_Toc62480210" w:history="1">
        <w:r w:rsidR="003721F1" w:rsidRPr="008E5231">
          <w:rPr>
            <w:rStyle w:val="Hyperlink"/>
            <w:rFonts w:eastAsia="Arial"/>
          </w:rPr>
          <w:t>7.</w:t>
        </w:r>
        <w:r w:rsidR="003721F1">
          <w:rPr>
            <w:rFonts w:eastAsiaTheme="minorEastAsia" w:cstheme="minorBidi"/>
            <w:b w:val="0"/>
            <w:caps w:val="0"/>
            <w:color w:val="auto"/>
            <w:sz w:val="22"/>
            <w:szCs w:val="22"/>
            <w:lang w:eastAsia="en-AU"/>
          </w:rPr>
          <w:tab/>
        </w:r>
        <w:r w:rsidR="003721F1" w:rsidRPr="008E5231">
          <w:rPr>
            <w:rStyle w:val="Hyperlink"/>
            <w:rFonts w:eastAsia="Arial"/>
          </w:rPr>
          <w:t>surprise uplift category</w:t>
        </w:r>
        <w:r w:rsidR="003721F1">
          <w:rPr>
            <w:webHidden/>
          </w:rPr>
          <w:tab/>
        </w:r>
        <w:r w:rsidR="003721F1">
          <w:rPr>
            <w:webHidden/>
          </w:rPr>
          <w:fldChar w:fldCharType="begin"/>
        </w:r>
        <w:r w:rsidR="003721F1">
          <w:rPr>
            <w:webHidden/>
          </w:rPr>
          <w:instrText xml:space="preserve"> PAGEREF _Toc62480210 \h </w:instrText>
        </w:r>
        <w:r w:rsidR="003721F1">
          <w:rPr>
            <w:webHidden/>
          </w:rPr>
        </w:r>
        <w:r w:rsidR="003721F1">
          <w:rPr>
            <w:webHidden/>
          </w:rPr>
          <w:fldChar w:fldCharType="separate"/>
        </w:r>
        <w:r w:rsidR="003721F1">
          <w:rPr>
            <w:webHidden/>
          </w:rPr>
          <w:t>15</w:t>
        </w:r>
        <w:r w:rsidR="003721F1">
          <w:rPr>
            <w:webHidden/>
          </w:rPr>
          <w:fldChar w:fldCharType="end"/>
        </w:r>
      </w:hyperlink>
    </w:p>
    <w:p w14:paraId="1DD231D9" w14:textId="225E8039" w:rsidR="003721F1" w:rsidRDefault="003D0CE6">
      <w:pPr>
        <w:pStyle w:val="TOC2"/>
        <w:rPr>
          <w:color w:val="auto"/>
          <w:sz w:val="22"/>
        </w:rPr>
      </w:pPr>
      <w:hyperlink w:anchor="_Toc62480211" w:history="1">
        <w:r w:rsidR="003721F1" w:rsidRPr="008E5231">
          <w:rPr>
            <w:rStyle w:val="Hyperlink"/>
            <w14:scene3d>
              <w14:camera w14:prst="orthographicFront"/>
              <w14:lightRig w14:rig="threePt" w14:dir="t">
                <w14:rot w14:lat="0" w14:lon="0" w14:rev="0"/>
              </w14:lightRig>
            </w14:scene3d>
          </w:rPr>
          <w:t>7.1.</w:t>
        </w:r>
        <w:r w:rsidR="003721F1">
          <w:rPr>
            <w:color w:val="auto"/>
            <w:sz w:val="22"/>
          </w:rPr>
          <w:tab/>
        </w:r>
        <w:r w:rsidR="003721F1" w:rsidRPr="008E5231">
          <w:rPr>
            <w:rStyle w:val="Hyperlink"/>
          </w:rPr>
          <w:t>General</w:t>
        </w:r>
        <w:r w:rsidR="003721F1">
          <w:rPr>
            <w:webHidden/>
          </w:rPr>
          <w:tab/>
        </w:r>
        <w:r w:rsidR="003721F1">
          <w:rPr>
            <w:webHidden/>
          </w:rPr>
          <w:fldChar w:fldCharType="begin"/>
        </w:r>
        <w:r w:rsidR="003721F1">
          <w:rPr>
            <w:webHidden/>
          </w:rPr>
          <w:instrText xml:space="preserve"> PAGEREF _Toc62480211 \h </w:instrText>
        </w:r>
        <w:r w:rsidR="003721F1">
          <w:rPr>
            <w:webHidden/>
          </w:rPr>
        </w:r>
        <w:r w:rsidR="003721F1">
          <w:rPr>
            <w:webHidden/>
          </w:rPr>
          <w:fldChar w:fldCharType="separate"/>
        </w:r>
        <w:r w:rsidR="003721F1">
          <w:rPr>
            <w:webHidden/>
          </w:rPr>
          <w:t>15</w:t>
        </w:r>
        <w:r w:rsidR="003721F1">
          <w:rPr>
            <w:webHidden/>
          </w:rPr>
          <w:fldChar w:fldCharType="end"/>
        </w:r>
      </w:hyperlink>
    </w:p>
    <w:p w14:paraId="23CF1EB6" w14:textId="416D743E" w:rsidR="003721F1" w:rsidRDefault="003D0CE6">
      <w:pPr>
        <w:pStyle w:val="TOC2"/>
        <w:rPr>
          <w:color w:val="auto"/>
          <w:sz w:val="22"/>
        </w:rPr>
      </w:pPr>
      <w:hyperlink w:anchor="_Toc62480212" w:history="1">
        <w:r w:rsidR="003721F1" w:rsidRPr="008E5231">
          <w:rPr>
            <w:rStyle w:val="Hyperlink"/>
            <w14:scene3d>
              <w14:camera w14:prst="orthographicFront"/>
              <w14:lightRig w14:rig="threePt" w14:dir="t">
                <w14:rot w14:lat="0" w14:lon="0" w14:rev="0"/>
              </w14:lightRig>
            </w14:scene3d>
          </w:rPr>
          <w:t>7.2.</w:t>
        </w:r>
        <w:r w:rsidR="003721F1">
          <w:rPr>
            <w:color w:val="auto"/>
            <w:sz w:val="22"/>
          </w:rPr>
          <w:tab/>
        </w:r>
        <w:r w:rsidR="003721F1" w:rsidRPr="008E5231">
          <w:rPr>
            <w:rStyle w:val="Hyperlink"/>
          </w:rPr>
          <w:t xml:space="preserve">Determine market participant effective demand forecast </w:t>
        </w:r>
        <w:r w:rsidR="003721F1">
          <w:rPr>
            <w:webHidden/>
          </w:rPr>
          <w:tab/>
        </w:r>
        <w:r w:rsidR="003721F1">
          <w:rPr>
            <w:webHidden/>
          </w:rPr>
          <w:fldChar w:fldCharType="begin"/>
        </w:r>
        <w:r w:rsidR="003721F1">
          <w:rPr>
            <w:webHidden/>
          </w:rPr>
          <w:instrText xml:space="preserve"> PAGEREF _Toc62480212 \h </w:instrText>
        </w:r>
        <w:r w:rsidR="003721F1">
          <w:rPr>
            <w:webHidden/>
          </w:rPr>
        </w:r>
        <w:r w:rsidR="003721F1">
          <w:rPr>
            <w:webHidden/>
          </w:rPr>
          <w:fldChar w:fldCharType="separate"/>
        </w:r>
        <w:r w:rsidR="003721F1">
          <w:rPr>
            <w:webHidden/>
          </w:rPr>
          <w:t>15</w:t>
        </w:r>
        <w:r w:rsidR="003721F1">
          <w:rPr>
            <w:webHidden/>
          </w:rPr>
          <w:fldChar w:fldCharType="end"/>
        </w:r>
      </w:hyperlink>
    </w:p>
    <w:p w14:paraId="5BD9ED87" w14:textId="0101B0BF" w:rsidR="003721F1" w:rsidRDefault="003D0CE6">
      <w:pPr>
        <w:pStyle w:val="TOC2"/>
        <w:rPr>
          <w:color w:val="auto"/>
          <w:sz w:val="22"/>
        </w:rPr>
      </w:pPr>
      <w:hyperlink w:anchor="_Toc62480213" w:history="1">
        <w:r w:rsidR="003721F1" w:rsidRPr="008E5231">
          <w:rPr>
            <w:rStyle w:val="Hyperlink"/>
            <w14:scene3d>
              <w14:camera w14:prst="orthographicFront"/>
              <w14:lightRig w14:rig="threePt" w14:dir="t">
                <w14:rot w14:lat="0" w14:lon="0" w14:rev="0"/>
              </w14:lightRig>
            </w14:scene3d>
          </w:rPr>
          <w:t>7.3.</w:t>
        </w:r>
        <w:r w:rsidR="003721F1">
          <w:rPr>
            <w:color w:val="auto"/>
            <w:sz w:val="22"/>
          </w:rPr>
          <w:tab/>
        </w:r>
        <w:r w:rsidR="003721F1" w:rsidRPr="008E5231">
          <w:rPr>
            <w:rStyle w:val="Hyperlink"/>
          </w:rPr>
          <w:t xml:space="preserve">Surprise uplift quantities </w:t>
        </w:r>
        <w:r w:rsidR="003721F1">
          <w:rPr>
            <w:webHidden/>
          </w:rPr>
          <w:tab/>
        </w:r>
        <w:r w:rsidR="003721F1">
          <w:rPr>
            <w:webHidden/>
          </w:rPr>
          <w:fldChar w:fldCharType="begin"/>
        </w:r>
        <w:r w:rsidR="003721F1">
          <w:rPr>
            <w:webHidden/>
          </w:rPr>
          <w:instrText xml:space="preserve"> PAGEREF _Toc62480213 \h </w:instrText>
        </w:r>
        <w:r w:rsidR="003721F1">
          <w:rPr>
            <w:webHidden/>
          </w:rPr>
        </w:r>
        <w:r w:rsidR="003721F1">
          <w:rPr>
            <w:webHidden/>
          </w:rPr>
          <w:fldChar w:fldCharType="separate"/>
        </w:r>
        <w:r w:rsidR="003721F1">
          <w:rPr>
            <w:webHidden/>
          </w:rPr>
          <w:t>17</w:t>
        </w:r>
        <w:r w:rsidR="003721F1">
          <w:rPr>
            <w:webHidden/>
          </w:rPr>
          <w:fldChar w:fldCharType="end"/>
        </w:r>
      </w:hyperlink>
    </w:p>
    <w:p w14:paraId="527A43D6" w14:textId="73DE885D" w:rsidR="003721F1" w:rsidRDefault="003D0CE6">
      <w:pPr>
        <w:pStyle w:val="TOC2"/>
        <w:rPr>
          <w:color w:val="auto"/>
          <w:sz w:val="22"/>
        </w:rPr>
      </w:pPr>
      <w:hyperlink w:anchor="_Toc62480214" w:history="1">
        <w:r w:rsidR="003721F1" w:rsidRPr="008E5231">
          <w:rPr>
            <w:rStyle w:val="Hyperlink"/>
            <w14:scene3d>
              <w14:camera w14:prst="orthographicFront"/>
              <w14:lightRig w14:rig="threePt" w14:dir="t">
                <w14:rot w14:lat="0" w14:lon="0" w14:rev="0"/>
              </w14:lightRig>
            </w14:scene3d>
          </w:rPr>
          <w:t>7.4.</w:t>
        </w:r>
        <w:r w:rsidR="003721F1">
          <w:rPr>
            <w:color w:val="auto"/>
            <w:sz w:val="22"/>
          </w:rPr>
          <w:tab/>
        </w:r>
        <w:r w:rsidR="003721F1" w:rsidRPr="008E5231">
          <w:rPr>
            <w:rStyle w:val="Hyperlink"/>
          </w:rPr>
          <w:t xml:space="preserve">Determination of each market participant’s surprise uplift quantity for each schedule </w:t>
        </w:r>
        <w:r w:rsidR="003721F1">
          <w:rPr>
            <w:webHidden/>
          </w:rPr>
          <w:tab/>
        </w:r>
        <w:r w:rsidR="003721F1">
          <w:rPr>
            <w:webHidden/>
          </w:rPr>
          <w:fldChar w:fldCharType="begin"/>
        </w:r>
        <w:r w:rsidR="003721F1">
          <w:rPr>
            <w:webHidden/>
          </w:rPr>
          <w:instrText xml:space="preserve"> PAGEREF _Toc62480214 \h </w:instrText>
        </w:r>
        <w:r w:rsidR="003721F1">
          <w:rPr>
            <w:webHidden/>
          </w:rPr>
        </w:r>
        <w:r w:rsidR="003721F1">
          <w:rPr>
            <w:webHidden/>
          </w:rPr>
          <w:fldChar w:fldCharType="separate"/>
        </w:r>
        <w:r w:rsidR="003721F1">
          <w:rPr>
            <w:webHidden/>
          </w:rPr>
          <w:t>19</w:t>
        </w:r>
        <w:r w:rsidR="003721F1">
          <w:rPr>
            <w:webHidden/>
          </w:rPr>
          <w:fldChar w:fldCharType="end"/>
        </w:r>
      </w:hyperlink>
    </w:p>
    <w:p w14:paraId="378942E2" w14:textId="397B47EC" w:rsidR="003721F1" w:rsidRDefault="003D0CE6">
      <w:pPr>
        <w:pStyle w:val="TOC2"/>
        <w:rPr>
          <w:color w:val="auto"/>
          <w:sz w:val="22"/>
        </w:rPr>
      </w:pPr>
      <w:hyperlink w:anchor="_Toc62480215" w:history="1">
        <w:r w:rsidR="003721F1" w:rsidRPr="008E5231">
          <w:rPr>
            <w:rStyle w:val="Hyperlink"/>
            <w14:scene3d>
              <w14:camera w14:prst="orthographicFront"/>
              <w14:lightRig w14:rig="threePt" w14:dir="t">
                <w14:rot w14:lat="0" w14:lon="0" w14:rev="0"/>
              </w14:lightRig>
            </w14:scene3d>
          </w:rPr>
          <w:t>7.5.</w:t>
        </w:r>
        <w:r w:rsidR="003721F1">
          <w:rPr>
            <w:color w:val="auto"/>
            <w:sz w:val="22"/>
          </w:rPr>
          <w:tab/>
        </w:r>
        <w:r w:rsidR="003721F1" w:rsidRPr="008E5231">
          <w:rPr>
            <w:rStyle w:val="Hyperlink"/>
          </w:rPr>
          <w:t>Determination of the modified surprise uplift quantity for each schedule</w:t>
        </w:r>
        <w:r w:rsidR="003721F1">
          <w:rPr>
            <w:webHidden/>
          </w:rPr>
          <w:tab/>
        </w:r>
        <w:r w:rsidR="003721F1">
          <w:rPr>
            <w:webHidden/>
          </w:rPr>
          <w:fldChar w:fldCharType="begin"/>
        </w:r>
        <w:r w:rsidR="003721F1">
          <w:rPr>
            <w:webHidden/>
          </w:rPr>
          <w:instrText xml:space="preserve"> PAGEREF _Toc62480215 \h </w:instrText>
        </w:r>
        <w:r w:rsidR="003721F1">
          <w:rPr>
            <w:webHidden/>
          </w:rPr>
        </w:r>
        <w:r w:rsidR="003721F1">
          <w:rPr>
            <w:webHidden/>
          </w:rPr>
          <w:fldChar w:fldCharType="separate"/>
        </w:r>
        <w:r w:rsidR="003721F1">
          <w:rPr>
            <w:webHidden/>
          </w:rPr>
          <w:t>20</w:t>
        </w:r>
        <w:r w:rsidR="003721F1">
          <w:rPr>
            <w:webHidden/>
          </w:rPr>
          <w:fldChar w:fldCharType="end"/>
        </w:r>
      </w:hyperlink>
    </w:p>
    <w:p w14:paraId="27D79F49" w14:textId="78ABB2D7" w:rsidR="003721F1" w:rsidRDefault="003D0CE6">
      <w:pPr>
        <w:pStyle w:val="TOC2"/>
        <w:rPr>
          <w:color w:val="auto"/>
          <w:sz w:val="22"/>
        </w:rPr>
      </w:pPr>
      <w:hyperlink w:anchor="_Toc62480216" w:history="1">
        <w:r w:rsidR="003721F1" w:rsidRPr="008E5231">
          <w:rPr>
            <w:rStyle w:val="Hyperlink"/>
            <w14:scene3d>
              <w14:camera w14:prst="orthographicFront"/>
              <w14:lightRig w14:rig="threePt" w14:dir="t">
                <w14:rot w14:lat="0" w14:lon="0" w14:rev="0"/>
              </w14:lightRig>
            </w14:scene3d>
          </w:rPr>
          <w:t>7.6.</w:t>
        </w:r>
        <w:r w:rsidR="003721F1">
          <w:rPr>
            <w:color w:val="auto"/>
            <w:sz w:val="22"/>
          </w:rPr>
          <w:tab/>
        </w:r>
        <w:r w:rsidR="003721F1" w:rsidRPr="008E5231">
          <w:rPr>
            <w:rStyle w:val="Hyperlink"/>
          </w:rPr>
          <w:t>Determination of the surprise uplift amount for market participant for each schedule</w:t>
        </w:r>
        <w:r w:rsidR="003721F1">
          <w:rPr>
            <w:webHidden/>
          </w:rPr>
          <w:tab/>
        </w:r>
        <w:r w:rsidR="003721F1">
          <w:rPr>
            <w:webHidden/>
          </w:rPr>
          <w:fldChar w:fldCharType="begin"/>
        </w:r>
        <w:r w:rsidR="003721F1">
          <w:rPr>
            <w:webHidden/>
          </w:rPr>
          <w:instrText xml:space="preserve"> PAGEREF _Toc62480216 \h </w:instrText>
        </w:r>
        <w:r w:rsidR="003721F1">
          <w:rPr>
            <w:webHidden/>
          </w:rPr>
        </w:r>
        <w:r w:rsidR="003721F1">
          <w:rPr>
            <w:webHidden/>
          </w:rPr>
          <w:fldChar w:fldCharType="separate"/>
        </w:r>
        <w:r w:rsidR="003721F1">
          <w:rPr>
            <w:webHidden/>
          </w:rPr>
          <w:t>20</w:t>
        </w:r>
        <w:r w:rsidR="003721F1">
          <w:rPr>
            <w:webHidden/>
          </w:rPr>
          <w:fldChar w:fldCharType="end"/>
        </w:r>
      </w:hyperlink>
    </w:p>
    <w:p w14:paraId="16067C6D" w14:textId="46058B61" w:rsidR="003721F1" w:rsidRDefault="003D0CE6">
      <w:pPr>
        <w:pStyle w:val="TOC1"/>
        <w:rPr>
          <w:rFonts w:eastAsiaTheme="minorEastAsia" w:cstheme="minorBidi"/>
          <w:b w:val="0"/>
          <w:caps w:val="0"/>
          <w:color w:val="auto"/>
          <w:sz w:val="22"/>
          <w:szCs w:val="22"/>
          <w:lang w:eastAsia="en-AU"/>
        </w:rPr>
      </w:pPr>
      <w:hyperlink w:anchor="_Toc62480217" w:history="1">
        <w:r w:rsidR="003721F1" w:rsidRPr="008E5231">
          <w:rPr>
            <w:rStyle w:val="Hyperlink"/>
          </w:rPr>
          <w:t>8.</w:t>
        </w:r>
        <w:r w:rsidR="003721F1">
          <w:rPr>
            <w:rFonts w:eastAsiaTheme="minorEastAsia" w:cstheme="minorBidi"/>
            <w:b w:val="0"/>
            <w:caps w:val="0"/>
            <w:color w:val="auto"/>
            <w:sz w:val="22"/>
            <w:szCs w:val="22"/>
            <w:lang w:eastAsia="en-AU"/>
          </w:rPr>
          <w:tab/>
        </w:r>
        <w:r w:rsidR="003721F1" w:rsidRPr="008E5231">
          <w:rPr>
            <w:rStyle w:val="Hyperlink"/>
          </w:rPr>
          <w:t>common uplift category</w:t>
        </w:r>
        <w:r w:rsidR="003721F1">
          <w:rPr>
            <w:webHidden/>
          </w:rPr>
          <w:tab/>
        </w:r>
        <w:r w:rsidR="003721F1">
          <w:rPr>
            <w:webHidden/>
          </w:rPr>
          <w:fldChar w:fldCharType="begin"/>
        </w:r>
        <w:r w:rsidR="003721F1">
          <w:rPr>
            <w:webHidden/>
          </w:rPr>
          <w:instrText xml:space="preserve"> PAGEREF _Toc62480217 \h </w:instrText>
        </w:r>
        <w:r w:rsidR="003721F1">
          <w:rPr>
            <w:webHidden/>
          </w:rPr>
        </w:r>
        <w:r w:rsidR="003721F1">
          <w:rPr>
            <w:webHidden/>
          </w:rPr>
          <w:fldChar w:fldCharType="separate"/>
        </w:r>
        <w:r w:rsidR="003721F1">
          <w:rPr>
            <w:webHidden/>
          </w:rPr>
          <w:t>20</w:t>
        </w:r>
        <w:r w:rsidR="003721F1">
          <w:rPr>
            <w:webHidden/>
          </w:rPr>
          <w:fldChar w:fldCharType="end"/>
        </w:r>
      </w:hyperlink>
    </w:p>
    <w:p w14:paraId="11E03153" w14:textId="3338F483" w:rsidR="003721F1" w:rsidRDefault="003D0CE6">
      <w:pPr>
        <w:pStyle w:val="TOC2"/>
        <w:rPr>
          <w:color w:val="auto"/>
          <w:sz w:val="22"/>
        </w:rPr>
      </w:pPr>
      <w:hyperlink w:anchor="_Toc62480218" w:history="1">
        <w:r w:rsidR="003721F1" w:rsidRPr="008E5231">
          <w:rPr>
            <w:rStyle w:val="Hyperlink"/>
            <w14:scene3d>
              <w14:camera w14:prst="orthographicFront"/>
              <w14:lightRig w14:rig="threePt" w14:dir="t">
                <w14:rot w14:lat="0" w14:lon="0" w14:rev="0"/>
              </w14:lightRig>
            </w14:scene3d>
          </w:rPr>
          <w:t>8.1.</w:t>
        </w:r>
        <w:r w:rsidR="003721F1">
          <w:rPr>
            <w:color w:val="auto"/>
            <w:sz w:val="22"/>
          </w:rPr>
          <w:tab/>
        </w:r>
        <w:r w:rsidR="003721F1" w:rsidRPr="008E5231">
          <w:rPr>
            <w:rStyle w:val="Hyperlink"/>
          </w:rPr>
          <w:t>General</w:t>
        </w:r>
        <w:r w:rsidR="003721F1">
          <w:rPr>
            <w:webHidden/>
          </w:rPr>
          <w:tab/>
        </w:r>
        <w:r w:rsidR="003721F1">
          <w:rPr>
            <w:webHidden/>
          </w:rPr>
          <w:fldChar w:fldCharType="begin"/>
        </w:r>
        <w:r w:rsidR="003721F1">
          <w:rPr>
            <w:webHidden/>
          </w:rPr>
          <w:instrText xml:space="preserve"> PAGEREF _Toc62480218 \h </w:instrText>
        </w:r>
        <w:r w:rsidR="003721F1">
          <w:rPr>
            <w:webHidden/>
          </w:rPr>
        </w:r>
        <w:r w:rsidR="003721F1">
          <w:rPr>
            <w:webHidden/>
          </w:rPr>
          <w:fldChar w:fldCharType="separate"/>
        </w:r>
        <w:r w:rsidR="003721F1">
          <w:rPr>
            <w:webHidden/>
          </w:rPr>
          <w:t>20</w:t>
        </w:r>
        <w:r w:rsidR="003721F1">
          <w:rPr>
            <w:webHidden/>
          </w:rPr>
          <w:fldChar w:fldCharType="end"/>
        </w:r>
      </w:hyperlink>
    </w:p>
    <w:p w14:paraId="60D0FAD1" w14:textId="3C959A7A" w:rsidR="003721F1" w:rsidRDefault="003D0CE6">
      <w:pPr>
        <w:pStyle w:val="TOC2"/>
        <w:rPr>
          <w:color w:val="auto"/>
          <w:sz w:val="22"/>
        </w:rPr>
      </w:pPr>
      <w:hyperlink w:anchor="_Toc62480219" w:history="1">
        <w:r w:rsidR="003721F1" w:rsidRPr="008E5231">
          <w:rPr>
            <w:rStyle w:val="Hyperlink"/>
            <w14:scene3d>
              <w14:camera w14:prst="orthographicFront"/>
              <w14:lightRig w14:rig="threePt" w14:dir="t">
                <w14:rot w14:lat="0" w14:lon="0" w14:rev="0"/>
              </w14:lightRig>
            </w14:scene3d>
          </w:rPr>
          <w:t>8.2.</w:t>
        </w:r>
        <w:r w:rsidR="003721F1">
          <w:rPr>
            <w:color w:val="auto"/>
            <w:sz w:val="22"/>
          </w:rPr>
          <w:tab/>
        </w:r>
        <w:r w:rsidR="003721F1" w:rsidRPr="008E5231">
          <w:rPr>
            <w:rStyle w:val="Hyperlink"/>
          </w:rPr>
          <w:t>Common uplift amounts</w:t>
        </w:r>
        <w:r w:rsidR="003721F1">
          <w:rPr>
            <w:webHidden/>
          </w:rPr>
          <w:tab/>
        </w:r>
        <w:r w:rsidR="003721F1">
          <w:rPr>
            <w:webHidden/>
          </w:rPr>
          <w:fldChar w:fldCharType="begin"/>
        </w:r>
        <w:r w:rsidR="003721F1">
          <w:rPr>
            <w:webHidden/>
          </w:rPr>
          <w:instrText xml:space="preserve"> PAGEREF _Toc62480219 \h </w:instrText>
        </w:r>
        <w:r w:rsidR="003721F1">
          <w:rPr>
            <w:webHidden/>
          </w:rPr>
        </w:r>
        <w:r w:rsidR="003721F1">
          <w:rPr>
            <w:webHidden/>
          </w:rPr>
          <w:fldChar w:fldCharType="separate"/>
        </w:r>
        <w:r w:rsidR="003721F1">
          <w:rPr>
            <w:webHidden/>
          </w:rPr>
          <w:t>21</w:t>
        </w:r>
        <w:r w:rsidR="003721F1">
          <w:rPr>
            <w:webHidden/>
          </w:rPr>
          <w:fldChar w:fldCharType="end"/>
        </w:r>
      </w:hyperlink>
    </w:p>
    <w:p w14:paraId="4C331092" w14:textId="46693E39" w:rsidR="003721F1" w:rsidRDefault="003D0CE6">
      <w:pPr>
        <w:pStyle w:val="TOC2"/>
        <w:rPr>
          <w:color w:val="auto"/>
          <w:sz w:val="22"/>
        </w:rPr>
      </w:pPr>
      <w:hyperlink w:anchor="_Toc62480220" w:history="1">
        <w:r w:rsidR="003721F1" w:rsidRPr="008E5231">
          <w:rPr>
            <w:rStyle w:val="Hyperlink"/>
            <w14:scene3d>
              <w14:camera w14:prst="orthographicFront"/>
              <w14:lightRig w14:rig="threePt" w14:dir="t">
                <w14:rot w14:lat="0" w14:lon="0" w14:rev="0"/>
              </w14:lightRig>
            </w14:scene3d>
          </w:rPr>
          <w:t>8.3.</w:t>
        </w:r>
        <w:r w:rsidR="003721F1">
          <w:rPr>
            <w:color w:val="auto"/>
            <w:sz w:val="22"/>
          </w:rPr>
          <w:tab/>
        </w:r>
        <w:r w:rsidR="003721F1" w:rsidRPr="008E5231">
          <w:rPr>
            <w:rStyle w:val="Hyperlink"/>
          </w:rPr>
          <w:t>Estimated common uplift payment quantities</w:t>
        </w:r>
        <w:r w:rsidR="003721F1">
          <w:rPr>
            <w:webHidden/>
          </w:rPr>
          <w:tab/>
        </w:r>
        <w:r w:rsidR="003721F1">
          <w:rPr>
            <w:webHidden/>
          </w:rPr>
          <w:fldChar w:fldCharType="begin"/>
        </w:r>
        <w:r w:rsidR="003721F1">
          <w:rPr>
            <w:webHidden/>
          </w:rPr>
          <w:instrText xml:space="preserve"> PAGEREF _Toc62480220 \h </w:instrText>
        </w:r>
        <w:r w:rsidR="003721F1">
          <w:rPr>
            <w:webHidden/>
          </w:rPr>
        </w:r>
        <w:r w:rsidR="003721F1">
          <w:rPr>
            <w:webHidden/>
          </w:rPr>
          <w:fldChar w:fldCharType="separate"/>
        </w:r>
        <w:r w:rsidR="003721F1">
          <w:rPr>
            <w:webHidden/>
          </w:rPr>
          <w:t>21</w:t>
        </w:r>
        <w:r w:rsidR="003721F1">
          <w:rPr>
            <w:webHidden/>
          </w:rPr>
          <w:fldChar w:fldCharType="end"/>
        </w:r>
      </w:hyperlink>
    </w:p>
    <w:p w14:paraId="1A0A730F" w14:textId="5E0F996A" w:rsidR="000F03C7" w:rsidRDefault="006B6119" w:rsidP="006B6119">
      <w:pPr>
        <w:pStyle w:val="BodyText"/>
      </w:pPr>
      <w:r w:rsidRPr="00520420">
        <w:rPr>
          <w:color w:val="2B579A"/>
          <w:shd w:val="clear" w:color="auto" w:fill="E6E6E6"/>
        </w:rPr>
        <w:fldChar w:fldCharType="end"/>
      </w:r>
    </w:p>
    <w:p w14:paraId="1DECB475" w14:textId="77777777" w:rsidR="00137B19" w:rsidRDefault="00137B19" w:rsidP="006C13DF">
      <w:pPr>
        <w:pStyle w:val="BodyText"/>
        <w:sectPr w:rsidR="00137B19" w:rsidSect="00DE0688">
          <w:headerReference w:type="even" r:id="rId18"/>
          <w:headerReference w:type="default" r:id="rId19"/>
          <w:footerReference w:type="even" r:id="rId20"/>
          <w:footerReference w:type="default" r:id="rId21"/>
          <w:headerReference w:type="first" r:id="rId22"/>
          <w:pgSz w:w="11906" w:h="16838"/>
          <w:pgMar w:top="1871" w:right="1361" w:bottom="1361" w:left="1361" w:header="1021" w:footer="567" w:gutter="0"/>
          <w:cols w:space="708"/>
          <w:docGrid w:linePitch="360"/>
        </w:sectPr>
      </w:pPr>
    </w:p>
    <w:p w14:paraId="1CD3B436" w14:textId="77777777" w:rsidR="004839BB" w:rsidRPr="00126592" w:rsidRDefault="004839BB" w:rsidP="00126592">
      <w:pPr>
        <w:pStyle w:val="Heading1"/>
      </w:pPr>
      <w:bookmarkStart w:id="0" w:name="_Toc380666654"/>
      <w:bookmarkStart w:id="1" w:name="_Toc391370315"/>
      <w:bookmarkStart w:id="2" w:name="_Toc445212696"/>
      <w:bookmarkStart w:id="3" w:name="_Toc445384263"/>
      <w:bookmarkStart w:id="4" w:name="_Toc62480187"/>
      <w:r w:rsidRPr="00126592">
        <w:lastRenderedPageBreak/>
        <w:t>Introduction</w:t>
      </w:r>
      <w:bookmarkEnd w:id="0"/>
      <w:bookmarkEnd w:id="1"/>
      <w:bookmarkEnd w:id="2"/>
      <w:bookmarkEnd w:id="3"/>
      <w:bookmarkEnd w:id="4"/>
    </w:p>
    <w:p w14:paraId="00B54EF1" w14:textId="77777777" w:rsidR="005537C0" w:rsidRPr="00126592" w:rsidRDefault="0019250F" w:rsidP="00126592">
      <w:pPr>
        <w:pStyle w:val="Heading2"/>
      </w:pPr>
      <w:bookmarkStart w:id="5" w:name="_Toc445212697"/>
      <w:bookmarkStart w:id="6" w:name="_Toc445384264"/>
      <w:bookmarkStart w:id="7" w:name="_Toc62480188"/>
      <w:r>
        <w:t>Purpose and s</w:t>
      </w:r>
      <w:r w:rsidR="00E85C7E" w:rsidRPr="00126592">
        <w:t>cope</w:t>
      </w:r>
      <w:bookmarkEnd w:id="5"/>
      <w:bookmarkEnd w:id="6"/>
      <w:bookmarkEnd w:id="7"/>
    </w:p>
    <w:p w14:paraId="46A2266D" w14:textId="50BE3A2C" w:rsidR="004E3A86" w:rsidRDefault="005537C0" w:rsidP="008F2864">
      <w:pPr>
        <w:pStyle w:val="BodyText"/>
      </w:pPr>
      <w:r>
        <w:t>Th</w:t>
      </w:r>
      <w:r w:rsidR="00027BFA">
        <w:t xml:space="preserve">ese are the </w:t>
      </w:r>
      <w:r w:rsidR="00A57533" w:rsidRPr="00A57533">
        <w:t xml:space="preserve">Uplift Payment Procedures </w:t>
      </w:r>
      <w:r w:rsidR="00027BFA">
        <w:t>made under</w:t>
      </w:r>
      <w:r w:rsidR="00004FD6">
        <w:t xml:space="preserve"> </w:t>
      </w:r>
      <w:r w:rsidR="00547C66">
        <w:t xml:space="preserve">rule 240 of the </w:t>
      </w:r>
      <w:r w:rsidR="00B61EED">
        <w:t>National Gas</w:t>
      </w:r>
      <w:r w:rsidR="00547C66">
        <w:t xml:space="preserve"> Rules</w:t>
      </w:r>
      <w:r w:rsidR="00027BFA">
        <w:t xml:space="preserve">  (</w:t>
      </w:r>
      <w:r w:rsidR="00027BFA" w:rsidRPr="00027BFA">
        <w:rPr>
          <w:b/>
        </w:rPr>
        <w:t>Procedures</w:t>
      </w:r>
      <w:r w:rsidR="00027BFA" w:rsidRPr="004E3A86">
        <w:t>)</w:t>
      </w:r>
      <w:r w:rsidR="004E3A86">
        <w:t xml:space="preserve">. </w:t>
      </w:r>
    </w:p>
    <w:p w14:paraId="55A90A40" w14:textId="3EE8379F" w:rsidR="005537C0" w:rsidRDefault="004E3A86" w:rsidP="008F2864">
      <w:pPr>
        <w:pStyle w:val="BodyText"/>
        <w:rPr>
          <w:lang w:val="en-US"/>
        </w:rPr>
      </w:pPr>
      <w:r>
        <w:t xml:space="preserve">These Procedures </w:t>
      </w:r>
      <w:r>
        <w:rPr>
          <w:lang w:val="en-US"/>
        </w:rPr>
        <w:t xml:space="preserve">have effect only for the purposes set out in the National Gas Rules </w:t>
      </w:r>
      <w:r w:rsidRPr="00004FD6">
        <w:rPr>
          <w:lang w:val="en-US"/>
        </w:rPr>
        <w:t>(</w:t>
      </w:r>
      <w:r w:rsidR="00004FD6" w:rsidRPr="00B61EED">
        <w:rPr>
          <w:b/>
          <w:bCs/>
          <w:lang w:val="en-US"/>
        </w:rPr>
        <w:t>N</w:t>
      </w:r>
      <w:r w:rsidRPr="00B61EED">
        <w:rPr>
          <w:b/>
          <w:bCs/>
          <w:lang w:val="en-US"/>
        </w:rPr>
        <w:t>GR</w:t>
      </w:r>
      <w:r w:rsidRPr="00004FD6">
        <w:rPr>
          <w:lang w:val="en-US"/>
        </w:rPr>
        <w:t>)</w:t>
      </w:r>
      <w:r>
        <w:rPr>
          <w:lang w:val="en-US"/>
        </w:rPr>
        <w:t>.</w:t>
      </w:r>
      <w:r w:rsidRPr="00B31649">
        <w:t xml:space="preserve"> </w:t>
      </w:r>
      <w:r>
        <w:t xml:space="preserve">The </w:t>
      </w:r>
      <w:r w:rsidR="00004FD6">
        <w:t>NGR</w:t>
      </w:r>
      <w:r>
        <w:t xml:space="preserve"> and the National</w:t>
      </w:r>
      <w:r w:rsidR="00547C66">
        <w:t xml:space="preserve"> Gas</w:t>
      </w:r>
      <w:r>
        <w:t xml:space="preserve"> Law </w:t>
      </w:r>
      <w:r w:rsidR="00CA71AB">
        <w:t xml:space="preserve">(NGL) </w:t>
      </w:r>
      <w:r>
        <w:t>prevail over these Procedures</w:t>
      </w:r>
      <w:r>
        <w:rPr>
          <w:lang w:val="en-US"/>
        </w:rPr>
        <w:t xml:space="preserve"> to the extent of any inconsistency.</w:t>
      </w:r>
    </w:p>
    <w:p w14:paraId="6DAA9E1C" w14:textId="5B52383D" w:rsidR="00CA71AB" w:rsidRDefault="00CA71AB" w:rsidP="008F2864">
      <w:pPr>
        <w:pStyle w:val="BodyText"/>
      </w:pPr>
      <w:r>
        <w:rPr>
          <w:lang w:val="en-US"/>
        </w:rPr>
        <w:t>The Procedures</w:t>
      </w:r>
      <w:r w:rsidR="0086618B">
        <w:rPr>
          <w:lang w:val="en-US"/>
        </w:rPr>
        <w:t xml:space="preserve"> set out the </w:t>
      </w:r>
      <w:r w:rsidR="00F31FEA">
        <w:rPr>
          <w:lang w:val="en-US"/>
        </w:rPr>
        <w:t xml:space="preserve">determination of </w:t>
      </w:r>
      <w:r w:rsidR="0086618B" w:rsidRPr="008B758D">
        <w:rPr>
          <w:i/>
          <w:iCs/>
          <w:lang w:val="en-US"/>
        </w:rPr>
        <w:t>uplift payments</w:t>
      </w:r>
      <w:r w:rsidR="0086618B">
        <w:rPr>
          <w:lang w:val="en-US"/>
        </w:rPr>
        <w:t xml:space="preserve"> </w:t>
      </w:r>
      <w:r w:rsidR="00F31FEA">
        <w:rPr>
          <w:lang w:val="en-US"/>
        </w:rPr>
        <w:t xml:space="preserve">for each uplift payment </w:t>
      </w:r>
      <w:r w:rsidR="0086618B">
        <w:rPr>
          <w:lang w:val="en-US"/>
        </w:rPr>
        <w:t>categor</w:t>
      </w:r>
      <w:r w:rsidR="00F31FEA">
        <w:rPr>
          <w:lang w:val="en-US"/>
        </w:rPr>
        <w:t>y</w:t>
      </w:r>
      <w:r w:rsidR="00882E77">
        <w:rPr>
          <w:lang w:val="en-US"/>
        </w:rPr>
        <w:t>, which in total recover the</w:t>
      </w:r>
      <w:r w:rsidR="00882E77" w:rsidRPr="00DF66DA">
        <w:rPr>
          <w:i/>
          <w:iCs/>
          <w:lang w:val="en-US"/>
        </w:rPr>
        <w:t xml:space="preserve"> ancillary payments</w:t>
      </w:r>
      <w:r w:rsidR="00882E77">
        <w:rPr>
          <w:lang w:val="en-US"/>
        </w:rPr>
        <w:t xml:space="preserve"> </w:t>
      </w:r>
      <w:r w:rsidR="00A00FEB">
        <w:rPr>
          <w:lang w:val="en-US"/>
        </w:rPr>
        <w:t xml:space="preserve">for each </w:t>
      </w:r>
      <w:r w:rsidR="00A00FEB" w:rsidRPr="009D7AC7">
        <w:rPr>
          <w:i/>
          <w:iCs/>
          <w:lang w:val="en-US"/>
        </w:rPr>
        <w:t>gas day</w:t>
      </w:r>
      <w:r w:rsidR="00A00FEB">
        <w:rPr>
          <w:lang w:val="en-US"/>
        </w:rPr>
        <w:t>.</w:t>
      </w:r>
    </w:p>
    <w:p w14:paraId="738678F6" w14:textId="028EBD87" w:rsidR="7794D9A8" w:rsidRDefault="7794D9A8" w:rsidP="005D2CE1">
      <w:pPr>
        <w:pStyle w:val="BodyText"/>
      </w:pPr>
      <w:r w:rsidRPr="005D2CE1">
        <w:t>Unless expressly stated otherwise in the Procedure, the version of the Procedure that applie</w:t>
      </w:r>
      <w:r w:rsidRPr="62826052">
        <w:t xml:space="preserve">s </w:t>
      </w:r>
      <w:r w:rsidRPr="005D2CE1">
        <w:t xml:space="preserve">to a </w:t>
      </w:r>
      <w:r w:rsidRPr="005D2CE1">
        <w:rPr>
          <w:i/>
          <w:iCs/>
        </w:rPr>
        <w:t xml:space="preserve">gas day </w:t>
      </w:r>
      <w:r w:rsidRPr="005D2CE1">
        <w:t xml:space="preserve">is the version of the Procedure that was in effect at the start of the </w:t>
      </w:r>
      <w:r w:rsidRPr="005D2CE1">
        <w:rPr>
          <w:i/>
          <w:iCs/>
        </w:rPr>
        <w:t>gas day</w:t>
      </w:r>
    </w:p>
    <w:p w14:paraId="4BEFC154" w14:textId="77777777" w:rsidR="005537C0" w:rsidRPr="00656456" w:rsidRDefault="00F37294" w:rsidP="00126592">
      <w:pPr>
        <w:pStyle w:val="Heading2"/>
      </w:pPr>
      <w:bookmarkStart w:id="8" w:name="_Toc445212698"/>
      <w:bookmarkStart w:id="9" w:name="_Toc445384265"/>
      <w:bookmarkStart w:id="10" w:name="_Toc62480189"/>
      <w:r>
        <w:t>Definiti</w:t>
      </w:r>
      <w:r w:rsidR="0019250F">
        <w:t>ons and i</w:t>
      </w:r>
      <w:r>
        <w:t>nterpretation</w:t>
      </w:r>
      <w:bookmarkEnd w:id="8"/>
      <w:bookmarkEnd w:id="9"/>
      <w:bookmarkEnd w:id="10"/>
    </w:p>
    <w:p w14:paraId="47D88ABB" w14:textId="77777777" w:rsidR="005537C0" w:rsidRPr="00126592" w:rsidRDefault="00E85C7E" w:rsidP="00126592">
      <w:pPr>
        <w:pStyle w:val="Heading3"/>
      </w:pPr>
      <w:r w:rsidRPr="00126592">
        <w:t>Glossary</w:t>
      </w:r>
    </w:p>
    <w:p w14:paraId="594F1241" w14:textId="63A12A8F" w:rsidR="007B599E" w:rsidRDefault="00C1288E" w:rsidP="00F37294">
      <w:pPr>
        <w:pStyle w:val="BodyText"/>
      </w:pPr>
      <w:r>
        <w:t>Terms defined in the</w:t>
      </w:r>
      <w:r w:rsidR="00295F08">
        <w:t xml:space="preserve"> National</w:t>
      </w:r>
      <w:r>
        <w:t xml:space="preserve"> </w:t>
      </w:r>
      <w:r w:rsidR="009D7AC7">
        <w:t>Gas</w:t>
      </w:r>
      <w:r w:rsidR="00295F08">
        <w:t xml:space="preserve"> Law</w:t>
      </w:r>
      <w:r>
        <w:t xml:space="preserve"> </w:t>
      </w:r>
      <w:r w:rsidR="00295F08">
        <w:t xml:space="preserve">and </w:t>
      </w:r>
      <w:r>
        <w:t>the</w:t>
      </w:r>
      <w:r w:rsidR="009D7AC7">
        <w:t xml:space="preserve"> NGR</w:t>
      </w:r>
      <w:r>
        <w:t xml:space="preserve"> have the same meanings in these Procedures unless otherwise specified in this clause. </w:t>
      </w:r>
    </w:p>
    <w:p w14:paraId="497C3E26" w14:textId="209ABA8C" w:rsidR="00C1288E" w:rsidRDefault="0083505D" w:rsidP="00F37294">
      <w:pPr>
        <w:pStyle w:val="BodyText"/>
      </w:pPr>
      <w:r>
        <w:t>Defined terms</w:t>
      </w:r>
      <w:r w:rsidR="00C1288E">
        <w:t xml:space="preserve"> are intended to be identified in these Procedures by italicising them, but failure to italicise a defined term does not affect its meaning.</w:t>
      </w:r>
    </w:p>
    <w:p w14:paraId="3E691F48" w14:textId="77777777" w:rsidR="00DA6F0F" w:rsidRDefault="00DA6F0F" w:rsidP="00DA6F0F">
      <w:pPr>
        <w:pStyle w:val="BodyText"/>
      </w:pPr>
      <w:r>
        <w:t xml:space="preserve">The words, phrases and abbreviations in the table below have the meanings set out opposite them when used in these Procedures. </w:t>
      </w:r>
    </w:p>
    <w:tbl>
      <w:tblPr>
        <w:tblStyle w:val="AEMOTable"/>
        <w:tblW w:w="0" w:type="auto"/>
        <w:tblLook w:val="0620" w:firstRow="1" w:lastRow="0" w:firstColumn="0" w:lastColumn="0" w:noHBand="1" w:noVBand="1"/>
      </w:tblPr>
      <w:tblGrid>
        <w:gridCol w:w="2280"/>
        <w:gridCol w:w="6894"/>
      </w:tblGrid>
      <w:tr w:rsidR="00447964" w:rsidRPr="005537C0" w14:paraId="6847A99B" w14:textId="77777777" w:rsidTr="22FC2A65">
        <w:trPr>
          <w:cnfStyle w:val="100000000000" w:firstRow="1" w:lastRow="0" w:firstColumn="0" w:lastColumn="0" w:oddVBand="0" w:evenVBand="0" w:oddHBand="0" w:evenHBand="0" w:firstRowFirstColumn="0" w:firstRowLastColumn="0" w:lastRowFirstColumn="0" w:lastRowLastColumn="0"/>
        </w:trPr>
        <w:tc>
          <w:tcPr>
            <w:tcW w:w="2280" w:type="dxa"/>
          </w:tcPr>
          <w:p w14:paraId="2E7E2273" w14:textId="77777777" w:rsidR="00447964" w:rsidRPr="0019250F" w:rsidRDefault="00447964" w:rsidP="007F1F01">
            <w:pPr>
              <w:pStyle w:val="TableText"/>
            </w:pPr>
            <w:r w:rsidRPr="0019250F">
              <w:t>Term</w:t>
            </w:r>
          </w:p>
        </w:tc>
        <w:tc>
          <w:tcPr>
            <w:tcW w:w="6894" w:type="dxa"/>
          </w:tcPr>
          <w:p w14:paraId="37FC61FB" w14:textId="77777777" w:rsidR="00447964" w:rsidRPr="004954FD" w:rsidRDefault="00447964" w:rsidP="007F1F01">
            <w:pPr>
              <w:pStyle w:val="TableText"/>
            </w:pPr>
            <w:r w:rsidRPr="004954FD">
              <w:t>Definition</w:t>
            </w:r>
          </w:p>
        </w:tc>
      </w:tr>
      <w:tr w:rsidR="00447964" w:rsidRPr="005537C0" w14:paraId="227FB291" w14:textId="77777777" w:rsidTr="00F37294">
        <w:tc>
          <w:tcPr>
            <w:tcW w:w="2280" w:type="dxa"/>
          </w:tcPr>
          <w:p w14:paraId="20428DD5" w14:textId="77777777" w:rsidR="00447964" w:rsidRPr="00DB6EC4" w:rsidRDefault="00447964" w:rsidP="007F1F01">
            <w:pPr>
              <w:pStyle w:val="TableText"/>
            </w:pPr>
            <w:r>
              <w:t>Ad Hoc Operating Schedule</w:t>
            </w:r>
          </w:p>
        </w:tc>
        <w:tc>
          <w:tcPr>
            <w:tcW w:w="6894" w:type="dxa"/>
          </w:tcPr>
          <w:p w14:paraId="3447D4C9" w14:textId="77777777" w:rsidR="00447964" w:rsidRDefault="00447964" w:rsidP="007F1F01">
            <w:pPr>
              <w:pStyle w:val="TableText"/>
            </w:pPr>
            <w:r>
              <w:t xml:space="preserve">An </w:t>
            </w:r>
            <w:r>
              <w:rPr>
                <w:i/>
                <w:iCs/>
              </w:rPr>
              <w:t>operating schedule</w:t>
            </w:r>
            <w:r>
              <w:t xml:space="preserve"> produced by AEMO in circumstances covered by NGR 215(4).</w:t>
            </w:r>
          </w:p>
          <w:p w14:paraId="42BAE388" w14:textId="77777777" w:rsidR="00447964" w:rsidRDefault="00447964" w:rsidP="007F1F01">
            <w:pPr>
              <w:pStyle w:val="TableText"/>
            </w:pPr>
          </w:p>
          <w:p w14:paraId="16B7C14F" w14:textId="632745A7" w:rsidR="00447964" w:rsidRPr="00E24DC1" w:rsidRDefault="00447964" w:rsidP="007F1F01">
            <w:pPr>
              <w:pStyle w:val="TableText"/>
            </w:pPr>
          </w:p>
        </w:tc>
      </w:tr>
      <w:tr w:rsidR="00447964" w:rsidRPr="005537C0" w14:paraId="18AD464D" w14:textId="77777777" w:rsidTr="00F37294">
        <w:tc>
          <w:tcPr>
            <w:tcW w:w="2280" w:type="dxa"/>
          </w:tcPr>
          <w:p w14:paraId="17F2275D" w14:textId="77777777" w:rsidR="00447964" w:rsidRDefault="00447964" w:rsidP="007F1F01">
            <w:pPr>
              <w:pStyle w:val="TableText"/>
            </w:pPr>
            <w:r>
              <w:t>Adjusted deviation</w:t>
            </w:r>
          </w:p>
        </w:tc>
        <w:tc>
          <w:tcPr>
            <w:tcW w:w="6894" w:type="dxa"/>
          </w:tcPr>
          <w:p w14:paraId="3FDCE796" w14:textId="3B9ED87D" w:rsidR="00447964" w:rsidRDefault="00A27D8E" w:rsidP="007F1F01">
            <w:pPr>
              <w:pStyle w:val="TableText"/>
            </w:pPr>
            <w:r>
              <w:t>A</w:t>
            </w:r>
            <w:r w:rsidR="008161E9">
              <w:t xml:space="preserve">s determined in section </w:t>
            </w:r>
            <w:r w:rsidR="008161E9">
              <w:fldChar w:fldCharType="begin"/>
            </w:r>
            <w:r w:rsidR="008161E9">
              <w:instrText xml:space="preserve"> REF _Ref57199762 \r \h </w:instrText>
            </w:r>
            <w:r w:rsidR="008161E9">
              <w:fldChar w:fldCharType="separate"/>
            </w:r>
            <w:r w:rsidR="00BA68AF">
              <w:t>7.3.1</w:t>
            </w:r>
            <w:r w:rsidR="008161E9">
              <w:fldChar w:fldCharType="end"/>
            </w:r>
          </w:p>
        </w:tc>
      </w:tr>
      <w:tr w:rsidR="00447964" w:rsidRPr="005537C0" w14:paraId="0CD2031F" w14:textId="77777777" w:rsidTr="00F37294">
        <w:tc>
          <w:tcPr>
            <w:tcW w:w="2280" w:type="dxa"/>
          </w:tcPr>
          <w:p w14:paraId="4A6EC586" w14:textId="77777777" w:rsidR="00447964" w:rsidRDefault="00447964" w:rsidP="003540EE">
            <w:pPr>
              <w:pStyle w:val="TableText"/>
            </w:pPr>
            <w:r>
              <w:t>AGINO / AGWINO</w:t>
            </w:r>
          </w:p>
        </w:tc>
        <w:tc>
          <w:tcPr>
            <w:tcW w:w="6894" w:type="dxa"/>
          </w:tcPr>
          <w:p w14:paraId="169C7F72" w14:textId="77777777" w:rsidR="00447964" w:rsidRDefault="00447964" w:rsidP="003540EE">
            <w:pPr>
              <w:pStyle w:val="TableText"/>
            </w:pPr>
            <w:r>
              <w:t>As defined in the</w:t>
            </w:r>
            <w:r w:rsidRPr="00867A2F">
              <w:rPr>
                <w:i/>
                <w:iCs/>
              </w:rPr>
              <w:t xml:space="preserve"> ancillary payment procedures</w:t>
            </w:r>
          </w:p>
        </w:tc>
      </w:tr>
      <w:tr w:rsidR="00447964" w:rsidRPr="005537C0" w14:paraId="380235F9" w14:textId="77777777" w:rsidTr="00F37294">
        <w:tc>
          <w:tcPr>
            <w:tcW w:w="2280" w:type="dxa"/>
          </w:tcPr>
          <w:p w14:paraId="6FCE7368" w14:textId="1DEC7350" w:rsidR="00447964" w:rsidRDefault="00230692" w:rsidP="007F1F01">
            <w:pPr>
              <w:pStyle w:val="TableText"/>
            </w:pPr>
            <w:r>
              <w:t>amount</w:t>
            </w:r>
          </w:p>
        </w:tc>
        <w:tc>
          <w:tcPr>
            <w:tcW w:w="6894" w:type="dxa"/>
          </w:tcPr>
          <w:p w14:paraId="5E2E50FE" w14:textId="77777777" w:rsidR="00447964" w:rsidRDefault="00447964" w:rsidP="007F1F01">
            <w:pPr>
              <w:pStyle w:val="TableText"/>
            </w:pPr>
            <w:r>
              <w:t>An amount of money in dollars and cents.</w:t>
            </w:r>
          </w:p>
          <w:p w14:paraId="31E615FD" w14:textId="77777777" w:rsidR="00447964" w:rsidRDefault="00447964" w:rsidP="007F1F01">
            <w:pPr>
              <w:pStyle w:val="TableText"/>
            </w:pPr>
          </w:p>
          <w:p w14:paraId="62E64C19" w14:textId="77777777" w:rsidR="00447964" w:rsidRDefault="00447964" w:rsidP="007F1F01">
            <w:pPr>
              <w:pStyle w:val="TableText"/>
            </w:pPr>
            <w:r>
              <w:t>For example, a surprise uplift amount of $15,000.00</w:t>
            </w:r>
          </w:p>
        </w:tc>
      </w:tr>
      <w:tr w:rsidR="00447964" w:rsidRPr="005537C0" w14:paraId="0441070D" w14:textId="77777777" w:rsidTr="00F37294">
        <w:tc>
          <w:tcPr>
            <w:tcW w:w="2280" w:type="dxa"/>
          </w:tcPr>
          <w:p w14:paraId="47DD5198" w14:textId="77777777" w:rsidR="00447964" w:rsidRDefault="00447964" w:rsidP="007F1F01">
            <w:pPr>
              <w:pStyle w:val="TableText"/>
            </w:pPr>
            <w:r>
              <w:t>annual cap</w:t>
            </w:r>
          </w:p>
        </w:tc>
        <w:tc>
          <w:tcPr>
            <w:tcW w:w="6894" w:type="dxa"/>
          </w:tcPr>
          <w:p w14:paraId="109020A5" w14:textId="77777777" w:rsidR="00447964" w:rsidRDefault="00447964" w:rsidP="007F1F01">
            <w:pPr>
              <w:pStyle w:val="TableText"/>
            </w:pPr>
            <w:r>
              <w:t xml:space="preserve">The limit on total </w:t>
            </w:r>
            <w:r>
              <w:rPr>
                <w:i/>
                <w:iCs/>
              </w:rPr>
              <w:t>DTS SP</w:t>
            </w:r>
            <w:r>
              <w:t xml:space="preserve"> </w:t>
            </w:r>
            <w:r w:rsidRPr="0066364A">
              <w:t xml:space="preserve">liability for </w:t>
            </w:r>
            <w:r w:rsidRPr="00E57FDB">
              <w:rPr>
                <w:i/>
                <w:iCs/>
              </w:rPr>
              <w:t>uplift payments</w:t>
            </w:r>
            <w:r w:rsidRPr="0066364A">
              <w:t xml:space="preserve"> under its </w:t>
            </w:r>
            <w:r w:rsidRPr="00E57FDB">
              <w:rPr>
                <w:i/>
                <w:iCs/>
              </w:rPr>
              <w:t>service envelope agreement</w:t>
            </w:r>
            <w:r>
              <w:t xml:space="preserve"> in dollars during a calendar year</w:t>
            </w:r>
          </w:p>
        </w:tc>
      </w:tr>
      <w:tr w:rsidR="00447964" w:rsidRPr="005537C0" w14:paraId="38C87575" w14:textId="77777777" w:rsidTr="00F37294">
        <w:tc>
          <w:tcPr>
            <w:tcW w:w="2280" w:type="dxa"/>
          </w:tcPr>
          <w:p w14:paraId="4DB83E89" w14:textId="77777777" w:rsidR="00447964" w:rsidRDefault="00447964" w:rsidP="007F1F01">
            <w:pPr>
              <w:pStyle w:val="TableText"/>
            </w:pPr>
            <w:commentRangeStart w:id="11"/>
            <w:r>
              <w:t>Common model</w:t>
            </w:r>
            <w:commentRangeEnd w:id="11"/>
            <w:r w:rsidR="006163B2">
              <w:rPr>
                <w:rStyle w:val="CommentReference"/>
                <w:rFonts w:eastAsia="Calibri" w:cs="Times New Roman"/>
              </w:rPr>
              <w:commentReference w:id="11"/>
            </w:r>
          </w:p>
        </w:tc>
        <w:tc>
          <w:tcPr>
            <w:tcW w:w="6894" w:type="dxa"/>
          </w:tcPr>
          <w:p w14:paraId="3043EC2E" w14:textId="4BE0A1C3" w:rsidR="004C569C" w:rsidRDefault="008F25D8" w:rsidP="007F1F01">
            <w:pPr>
              <w:pStyle w:val="TableText"/>
            </w:pPr>
            <w:r>
              <w:t xml:space="preserve">A modelled representation of the </w:t>
            </w:r>
            <w:r w:rsidRPr="00872EF5">
              <w:rPr>
                <w:i/>
                <w:iCs/>
              </w:rPr>
              <w:t>declared transmission system</w:t>
            </w:r>
            <w:r>
              <w:t xml:space="preserve"> agreed between AEMO and the DTS SP under the </w:t>
            </w:r>
            <w:r w:rsidRPr="000E371D">
              <w:rPr>
                <w:i/>
                <w:iCs/>
              </w:rPr>
              <w:t>service envelope agreement</w:t>
            </w:r>
            <w:r>
              <w:rPr>
                <w:i/>
                <w:iCs/>
              </w:rPr>
              <w:t xml:space="preserve"> </w:t>
            </w:r>
            <w:r w:rsidR="004C569C">
              <w:t>as may be updated from time to time to reflect changes to the DTS</w:t>
            </w:r>
          </w:p>
        </w:tc>
      </w:tr>
      <w:tr w:rsidR="00447964" w:rsidRPr="005537C0" w14:paraId="4FC77AA4" w14:textId="77777777" w:rsidTr="00F37294">
        <w:tc>
          <w:tcPr>
            <w:tcW w:w="2280" w:type="dxa"/>
          </w:tcPr>
          <w:p w14:paraId="7D4ECDAF" w14:textId="77777777" w:rsidR="00447964" w:rsidRDefault="00447964" w:rsidP="007F1F01">
            <w:pPr>
              <w:pStyle w:val="TableText"/>
            </w:pPr>
            <w:r>
              <w:t>Common uplift</w:t>
            </w:r>
          </w:p>
        </w:tc>
        <w:tc>
          <w:tcPr>
            <w:tcW w:w="6894" w:type="dxa"/>
          </w:tcPr>
          <w:p w14:paraId="5335BE04" w14:textId="77777777" w:rsidR="00447964" w:rsidRDefault="00447964" w:rsidP="007F1F01">
            <w:pPr>
              <w:pStyle w:val="TableText"/>
            </w:pPr>
            <w:r>
              <w:t>Do we need these?</w:t>
            </w:r>
          </w:p>
        </w:tc>
      </w:tr>
      <w:tr w:rsidR="00447964" w:rsidRPr="005537C0" w14:paraId="7403D5B6" w14:textId="77777777" w:rsidTr="00F37294">
        <w:tc>
          <w:tcPr>
            <w:tcW w:w="2280" w:type="dxa"/>
          </w:tcPr>
          <w:p w14:paraId="32B8C197" w14:textId="77777777" w:rsidR="00447964" w:rsidRDefault="00447964" w:rsidP="007F1F01">
            <w:pPr>
              <w:pStyle w:val="TableText"/>
            </w:pPr>
            <w:r>
              <w:t>Controllable system injection point</w:t>
            </w:r>
          </w:p>
        </w:tc>
        <w:tc>
          <w:tcPr>
            <w:tcW w:w="6894" w:type="dxa"/>
          </w:tcPr>
          <w:p w14:paraId="74E799CA" w14:textId="6F380282" w:rsidR="00447964" w:rsidRPr="009F1C2C" w:rsidRDefault="00447964" w:rsidP="007F1F01">
            <w:pPr>
              <w:pStyle w:val="TableText"/>
            </w:pPr>
            <w:r>
              <w:t xml:space="preserve">A </w:t>
            </w:r>
            <w:r>
              <w:rPr>
                <w:i/>
                <w:iCs/>
              </w:rPr>
              <w:t>system injection point</w:t>
            </w:r>
            <w:r>
              <w:t xml:space="preserve"> at which a </w:t>
            </w:r>
            <w:r w:rsidRPr="003760BF">
              <w:rPr>
                <w:i/>
                <w:iCs/>
              </w:rPr>
              <w:t>Market Partic</w:t>
            </w:r>
            <w:r>
              <w:rPr>
                <w:i/>
                <w:iCs/>
              </w:rPr>
              <w:t>i</w:t>
            </w:r>
            <w:r w:rsidRPr="003760BF">
              <w:rPr>
                <w:i/>
                <w:iCs/>
              </w:rPr>
              <w:t>pant</w:t>
            </w:r>
            <w:r>
              <w:t xml:space="preserve"> with may submit </w:t>
            </w:r>
            <w:r w:rsidRPr="00DB4D19">
              <w:rPr>
                <w:i/>
              </w:rPr>
              <w:t>injection</w:t>
            </w:r>
            <w:r>
              <w:t xml:space="preserve"> </w:t>
            </w:r>
            <w:r w:rsidRPr="005742DB">
              <w:rPr>
                <w:i/>
                <w:iCs/>
              </w:rPr>
              <w:t>bids</w:t>
            </w:r>
          </w:p>
        </w:tc>
      </w:tr>
      <w:tr w:rsidR="00447964" w:rsidRPr="005537C0" w14:paraId="54D70700" w14:textId="77777777" w:rsidTr="00F37294">
        <w:tc>
          <w:tcPr>
            <w:tcW w:w="2280" w:type="dxa"/>
          </w:tcPr>
          <w:p w14:paraId="522AA6B8" w14:textId="583D651F" w:rsidR="00447964" w:rsidRDefault="00447964" w:rsidP="003540EE">
            <w:pPr>
              <w:pStyle w:val="TableText"/>
            </w:pPr>
            <w:r>
              <w:t>Controllable system withdrawal point</w:t>
            </w:r>
          </w:p>
        </w:tc>
        <w:tc>
          <w:tcPr>
            <w:tcW w:w="6894" w:type="dxa"/>
          </w:tcPr>
          <w:p w14:paraId="494AC792" w14:textId="77E700CF" w:rsidR="00447964" w:rsidRDefault="00447964" w:rsidP="003540EE">
            <w:pPr>
              <w:pStyle w:val="TableText"/>
            </w:pPr>
            <w:r>
              <w:t xml:space="preserve">A </w:t>
            </w:r>
            <w:r>
              <w:rPr>
                <w:i/>
                <w:iCs/>
              </w:rPr>
              <w:t>system withdrawal point</w:t>
            </w:r>
            <w:r>
              <w:t xml:space="preserve"> at which a </w:t>
            </w:r>
            <w:r w:rsidRPr="003760BF">
              <w:rPr>
                <w:i/>
                <w:iCs/>
              </w:rPr>
              <w:t>Market Partic</w:t>
            </w:r>
            <w:r>
              <w:rPr>
                <w:i/>
                <w:iCs/>
              </w:rPr>
              <w:t>i</w:t>
            </w:r>
            <w:r w:rsidRPr="003760BF">
              <w:rPr>
                <w:i/>
                <w:iCs/>
              </w:rPr>
              <w:t>pant</w:t>
            </w:r>
            <w:r>
              <w:t xml:space="preserve"> with may submit </w:t>
            </w:r>
            <w:r w:rsidRPr="00DB4D19">
              <w:rPr>
                <w:i/>
              </w:rPr>
              <w:t xml:space="preserve">withdrawal </w:t>
            </w:r>
            <w:r w:rsidRPr="005742DB">
              <w:rPr>
                <w:i/>
                <w:iCs/>
              </w:rPr>
              <w:t>bids</w:t>
            </w:r>
          </w:p>
        </w:tc>
      </w:tr>
      <w:tr w:rsidR="00447964" w:rsidRPr="005537C0" w14:paraId="10E3D40A" w14:textId="77777777" w:rsidTr="00F37294">
        <w:tc>
          <w:tcPr>
            <w:tcW w:w="2280" w:type="dxa"/>
          </w:tcPr>
          <w:p w14:paraId="58347878" w14:textId="77777777" w:rsidR="00447964" w:rsidRDefault="00447964" w:rsidP="007F1F01">
            <w:pPr>
              <w:pStyle w:val="TableText"/>
            </w:pPr>
            <w:r>
              <w:t>DTS</w:t>
            </w:r>
          </w:p>
        </w:tc>
        <w:tc>
          <w:tcPr>
            <w:tcW w:w="6894" w:type="dxa"/>
          </w:tcPr>
          <w:p w14:paraId="6FFE7BE4" w14:textId="77777777" w:rsidR="00447964" w:rsidRDefault="00447964" w:rsidP="007F1F01">
            <w:pPr>
              <w:pStyle w:val="TableText"/>
            </w:pPr>
            <w:r>
              <w:t xml:space="preserve">The </w:t>
            </w:r>
            <w:r w:rsidRPr="00D561AF">
              <w:rPr>
                <w:i/>
                <w:iCs/>
              </w:rPr>
              <w:t>declared transmission system</w:t>
            </w:r>
          </w:p>
        </w:tc>
      </w:tr>
      <w:tr w:rsidR="00447964" w:rsidRPr="005537C0" w14:paraId="27FC176D" w14:textId="77777777" w:rsidTr="00F37294">
        <w:tc>
          <w:tcPr>
            <w:tcW w:w="2280" w:type="dxa"/>
          </w:tcPr>
          <w:p w14:paraId="0F4A4101" w14:textId="77777777" w:rsidR="00447964" w:rsidRPr="0019250F" w:rsidRDefault="00447964" w:rsidP="007F1F01">
            <w:pPr>
              <w:pStyle w:val="TableText"/>
            </w:pPr>
            <w:r>
              <w:t>DTS SP</w:t>
            </w:r>
          </w:p>
        </w:tc>
        <w:tc>
          <w:tcPr>
            <w:tcW w:w="6894" w:type="dxa"/>
          </w:tcPr>
          <w:p w14:paraId="2EAC6DC6" w14:textId="77777777" w:rsidR="00447964" w:rsidRPr="0019250F" w:rsidRDefault="00447964" w:rsidP="007F1F01">
            <w:pPr>
              <w:pStyle w:val="TableText"/>
            </w:pPr>
            <w:r>
              <w:t xml:space="preserve">The </w:t>
            </w:r>
            <w:r w:rsidRPr="00852A4F">
              <w:rPr>
                <w:i/>
                <w:iCs/>
              </w:rPr>
              <w:t>declared transmission system service provider</w:t>
            </w:r>
          </w:p>
        </w:tc>
      </w:tr>
      <w:tr w:rsidR="00447964" w:rsidRPr="005537C0" w14:paraId="0AAFA4D7" w14:textId="77777777" w:rsidTr="00F37294">
        <w:tc>
          <w:tcPr>
            <w:tcW w:w="2280" w:type="dxa"/>
          </w:tcPr>
          <w:p w14:paraId="69209940" w14:textId="77777777" w:rsidR="00447964" w:rsidRDefault="00447964" w:rsidP="007F1F01">
            <w:pPr>
              <w:pStyle w:val="TableText"/>
            </w:pPr>
            <w:r>
              <w:t>DTS SP uplift event</w:t>
            </w:r>
          </w:p>
        </w:tc>
        <w:tc>
          <w:tcPr>
            <w:tcW w:w="6894" w:type="dxa"/>
          </w:tcPr>
          <w:p w14:paraId="22A40DBC" w14:textId="5F5C4A45" w:rsidR="00447964" w:rsidRPr="0042432F" w:rsidRDefault="00447964" w:rsidP="007F1F01">
            <w:pPr>
              <w:pStyle w:val="TableText"/>
              <w:rPr>
                <w:i/>
                <w:iCs/>
              </w:rPr>
            </w:pPr>
            <w:r>
              <w:t xml:space="preserve">Where DTS SP </w:t>
            </w:r>
            <w:r w:rsidR="5EC626C7">
              <w:t>u</w:t>
            </w:r>
            <w:r>
              <w:t xml:space="preserve">plift occurs as set out in </w:t>
            </w:r>
            <w:r>
              <w:rPr>
                <w:color w:val="2B579A"/>
                <w:shd w:val="clear" w:color="auto" w:fill="E6E6E6"/>
              </w:rPr>
              <w:fldChar w:fldCharType="begin"/>
            </w:r>
            <w:r>
              <w:instrText xml:space="preserve"> REF _Ref56417776 \r \h </w:instrText>
            </w:r>
            <w:r>
              <w:rPr>
                <w:color w:val="2B579A"/>
                <w:shd w:val="clear" w:color="auto" w:fill="E6E6E6"/>
              </w:rPr>
            </w:r>
            <w:r>
              <w:rPr>
                <w:color w:val="2B579A"/>
                <w:shd w:val="clear" w:color="auto" w:fill="E6E6E6"/>
              </w:rPr>
              <w:fldChar w:fldCharType="separate"/>
            </w:r>
            <w:r w:rsidR="00BA68AF">
              <w:t>4.1</w:t>
            </w:r>
            <w:r>
              <w:rPr>
                <w:color w:val="2B579A"/>
                <w:shd w:val="clear" w:color="auto" w:fill="E6E6E6"/>
              </w:rPr>
              <w:fldChar w:fldCharType="end"/>
            </w:r>
            <w:r>
              <w:t xml:space="preserve"> for a </w:t>
            </w:r>
            <w:r w:rsidRPr="0042432F">
              <w:rPr>
                <w:i/>
                <w:iCs/>
              </w:rPr>
              <w:t>gas day</w:t>
            </w:r>
            <w:r>
              <w:t xml:space="preserve"> and an </w:t>
            </w:r>
            <w:r w:rsidRPr="0042432F">
              <w:rPr>
                <w:i/>
                <w:iCs/>
              </w:rPr>
              <w:t>operating schedule</w:t>
            </w:r>
          </w:p>
        </w:tc>
      </w:tr>
      <w:tr w:rsidR="00447964" w:rsidRPr="005537C0" w14:paraId="0126581E" w14:textId="77777777" w:rsidTr="00F37294">
        <w:tc>
          <w:tcPr>
            <w:tcW w:w="2280" w:type="dxa"/>
          </w:tcPr>
          <w:p w14:paraId="0F5380C9" w14:textId="77777777" w:rsidR="00447964" w:rsidRDefault="00447964" w:rsidP="007F1F01">
            <w:pPr>
              <w:pStyle w:val="TableText"/>
            </w:pPr>
            <w:r>
              <w:lastRenderedPageBreak/>
              <w:t>DTS SP uplift payment</w:t>
            </w:r>
          </w:p>
        </w:tc>
        <w:tc>
          <w:tcPr>
            <w:tcW w:w="6894" w:type="dxa"/>
          </w:tcPr>
          <w:p w14:paraId="118046BC" w14:textId="77777777" w:rsidR="00447964" w:rsidRPr="00813426" w:rsidRDefault="00447964" w:rsidP="007F1F01">
            <w:pPr>
              <w:pStyle w:val="TableText"/>
              <w:rPr>
                <w:i/>
                <w:iCs/>
              </w:rPr>
            </w:pPr>
            <w:r>
              <w:t xml:space="preserve">The </w:t>
            </w:r>
            <w:r w:rsidRPr="00813426">
              <w:rPr>
                <w:i/>
                <w:iCs/>
              </w:rPr>
              <w:t>amount</w:t>
            </w:r>
            <w:r>
              <w:t xml:space="preserve"> of</w:t>
            </w:r>
            <w:r w:rsidRPr="00813426">
              <w:rPr>
                <w:i/>
                <w:iCs/>
              </w:rPr>
              <w:t xml:space="preserve"> DTS SP Uplift</w:t>
            </w:r>
            <w:r>
              <w:t xml:space="preserve"> payable for an </w:t>
            </w:r>
            <w:r>
              <w:rPr>
                <w:i/>
                <w:iCs/>
              </w:rPr>
              <w:t>operating schedule</w:t>
            </w:r>
          </w:p>
        </w:tc>
      </w:tr>
      <w:tr w:rsidR="00447964" w:rsidRPr="005537C0" w14:paraId="7204B7E9" w14:textId="77777777" w:rsidTr="00F37294">
        <w:tc>
          <w:tcPr>
            <w:tcW w:w="2280" w:type="dxa"/>
          </w:tcPr>
          <w:p w14:paraId="370F24C1" w14:textId="77777777" w:rsidR="00447964" w:rsidRDefault="00447964" w:rsidP="007F1F01">
            <w:pPr>
              <w:pStyle w:val="TableText"/>
            </w:pPr>
            <w:r>
              <w:t>DTS SP uplift quantity</w:t>
            </w:r>
          </w:p>
        </w:tc>
        <w:tc>
          <w:tcPr>
            <w:tcW w:w="6894" w:type="dxa"/>
          </w:tcPr>
          <w:p w14:paraId="5B01E03F" w14:textId="77777777" w:rsidR="00447964" w:rsidRDefault="00447964" w:rsidP="007F1F01">
            <w:pPr>
              <w:pStyle w:val="TableText"/>
            </w:pPr>
            <w:r>
              <w:t xml:space="preserve">The </w:t>
            </w:r>
            <w:r w:rsidRPr="000D06B0">
              <w:rPr>
                <w:i/>
                <w:iCs/>
              </w:rPr>
              <w:t>quantity</w:t>
            </w:r>
            <w:r>
              <w:t xml:space="preserve"> of </w:t>
            </w:r>
            <w:r w:rsidRPr="00813426">
              <w:rPr>
                <w:i/>
                <w:iCs/>
              </w:rPr>
              <w:t>DTS SP Uplift</w:t>
            </w:r>
            <w:r>
              <w:t xml:space="preserve"> for an </w:t>
            </w:r>
            <w:r w:rsidRPr="00720B61">
              <w:rPr>
                <w:i/>
                <w:iCs/>
              </w:rPr>
              <w:t>operating</w:t>
            </w:r>
            <w:r>
              <w:t xml:space="preserve"> </w:t>
            </w:r>
            <w:r w:rsidRPr="00541AA5">
              <w:rPr>
                <w:i/>
                <w:iCs/>
              </w:rPr>
              <w:t>schedul</w:t>
            </w:r>
            <w:r>
              <w:rPr>
                <w:i/>
                <w:iCs/>
              </w:rPr>
              <w:t>e</w:t>
            </w:r>
          </w:p>
        </w:tc>
      </w:tr>
      <w:tr w:rsidR="00447964" w:rsidRPr="005537C0" w14:paraId="6A613B23" w14:textId="77777777" w:rsidTr="00F37294">
        <w:tc>
          <w:tcPr>
            <w:tcW w:w="2280" w:type="dxa"/>
          </w:tcPr>
          <w:p w14:paraId="3A105C7B" w14:textId="77777777" w:rsidR="00447964" w:rsidRDefault="00447964" w:rsidP="007F1F01">
            <w:pPr>
              <w:pStyle w:val="TableText"/>
            </w:pPr>
            <w:r>
              <w:t>effective demand forecast</w:t>
            </w:r>
          </w:p>
        </w:tc>
        <w:tc>
          <w:tcPr>
            <w:tcW w:w="6894" w:type="dxa"/>
          </w:tcPr>
          <w:p w14:paraId="20B8B7D2" w14:textId="77777777" w:rsidR="00447964" w:rsidRDefault="00447964" w:rsidP="007F1F01">
            <w:pPr>
              <w:pStyle w:val="TableText"/>
            </w:pPr>
            <w:r>
              <w:t xml:space="preserve">A </w:t>
            </w:r>
            <w:r w:rsidRPr="002D58F7">
              <w:rPr>
                <w:i/>
                <w:iCs/>
              </w:rPr>
              <w:t>Market Participant’s</w:t>
            </w:r>
            <w:r>
              <w:t xml:space="preserve"> </w:t>
            </w:r>
            <w:r w:rsidRPr="00B76A3A">
              <w:rPr>
                <w:i/>
                <w:iCs/>
              </w:rPr>
              <w:t>demand forecast</w:t>
            </w:r>
            <w:r>
              <w:t xml:space="preserve"> adjusted for any AEMO </w:t>
            </w:r>
            <w:r w:rsidRPr="00876979">
              <w:rPr>
                <w:i/>
                <w:iCs/>
              </w:rPr>
              <w:t>demand forecast override</w:t>
            </w:r>
            <w:r>
              <w:t xml:space="preserve"> as set out in these Procedures.</w:t>
            </w:r>
          </w:p>
          <w:p w14:paraId="6970C4A9" w14:textId="77777777" w:rsidR="00447964" w:rsidRDefault="00447964" w:rsidP="007F1F01">
            <w:pPr>
              <w:pStyle w:val="TableText"/>
            </w:pPr>
          </w:p>
          <w:p w14:paraId="26356B47" w14:textId="77777777" w:rsidR="00447964" w:rsidRDefault="00447964" w:rsidP="007F1F01">
            <w:pPr>
              <w:pStyle w:val="TableText"/>
            </w:pPr>
            <w:r>
              <w:t xml:space="preserve">A </w:t>
            </w:r>
            <w:r w:rsidRPr="002D58F7">
              <w:rPr>
                <w:i/>
                <w:iCs/>
              </w:rPr>
              <w:t xml:space="preserve">Market Participant </w:t>
            </w:r>
            <w:r>
              <w:t>is allocated an</w:t>
            </w:r>
            <w:r w:rsidRPr="003E0669">
              <w:rPr>
                <w:i/>
                <w:iCs/>
              </w:rPr>
              <w:t xml:space="preserve"> effective demand forecast</w:t>
            </w:r>
            <w:r>
              <w:t xml:space="preserve"> where they have a </w:t>
            </w:r>
            <w:r w:rsidRPr="00F054ED">
              <w:rPr>
                <w:i/>
                <w:iCs/>
              </w:rPr>
              <w:t>deviation</w:t>
            </w:r>
            <w:r>
              <w:t xml:space="preserve"> from their </w:t>
            </w:r>
            <w:r w:rsidRPr="00F054ED">
              <w:rPr>
                <w:i/>
                <w:iCs/>
              </w:rPr>
              <w:t>demand forecast</w:t>
            </w:r>
            <w:r>
              <w:t xml:space="preserve"> and AEMO has issued a </w:t>
            </w:r>
            <w:r w:rsidRPr="00876979">
              <w:rPr>
                <w:i/>
                <w:iCs/>
              </w:rPr>
              <w:t>demand forecast override</w:t>
            </w:r>
            <w:r>
              <w:t>.</w:t>
            </w:r>
          </w:p>
        </w:tc>
      </w:tr>
      <w:tr w:rsidR="00447964" w:rsidRPr="005537C0" w14:paraId="29B89021" w14:textId="77777777" w:rsidTr="00F37294">
        <w:tc>
          <w:tcPr>
            <w:tcW w:w="2280" w:type="dxa"/>
          </w:tcPr>
          <w:p w14:paraId="2F269E55" w14:textId="77777777" w:rsidR="00447964" w:rsidRDefault="00447964" w:rsidP="007F1F01">
            <w:pPr>
              <w:pStyle w:val="TableText"/>
            </w:pPr>
            <w:r>
              <w:t>event cap</w:t>
            </w:r>
          </w:p>
        </w:tc>
        <w:tc>
          <w:tcPr>
            <w:tcW w:w="6894" w:type="dxa"/>
          </w:tcPr>
          <w:p w14:paraId="7794FCF1" w14:textId="77777777" w:rsidR="00447964" w:rsidRPr="00667CAC" w:rsidRDefault="00447964" w:rsidP="007F1F01">
            <w:pPr>
              <w:pStyle w:val="TableText"/>
              <w:rPr>
                <w:i/>
                <w:iCs/>
              </w:rPr>
            </w:pPr>
            <w:r>
              <w:t xml:space="preserve">The </w:t>
            </w:r>
            <w:r w:rsidRPr="0066364A">
              <w:t xml:space="preserve">limit on the </w:t>
            </w:r>
            <w:r>
              <w:rPr>
                <w:i/>
                <w:iCs/>
              </w:rPr>
              <w:t>DTS SP</w:t>
            </w:r>
            <w:r>
              <w:t xml:space="preserve"> </w:t>
            </w:r>
            <w:r w:rsidRPr="0066364A">
              <w:t xml:space="preserve">liability for </w:t>
            </w:r>
            <w:r w:rsidRPr="00E57FDB">
              <w:rPr>
                <w:i/>
                <w:iCs/>
              </w:rPr>
              <w:t>uplift payments</w:t>
            </w:r>
            <w:r w:rsidRPr="0066364A">
              <w:t xml:space="preserve"> under its </w:t>
            </w:r>
            <w:r w:rsidRPr="00E57FDB">
              <w:rPr>
                <w:i/>
                <w:iCs/>
              </w:rPr>
              <w:t>service envelope agreement</w:t>
            </w:r>
            <w:r>
              <w:t xml:space="preserve"> in dollars per GJ</w:t>
            </w:r>
          </w:p>
        </w:tc>
      </w:tr>
      <w:tr w:rsidR="00447964" w:rsidRPr="005537C0" w14:paraId="20BAFA2D" w14:textId="77777777" w:rsidTr="00F37294">
        <w:tc>
          <w:tcPr>
            <w:tcW w:w="2280" w:type="dxa"/>
          </w:tcPr>
          <w:p w14:paraId="55702445" w14:textId="77777777" w:rsidR="00447964" w:rsidRPr="00DC3CB1" w:rsidRDefault="00447964" w:rsidP="00DE7653">
            <w:pPr>
              <w:pStyle w:val="TableText"/>
            </w:pPr>
            <w:r w:rsidRPr="00DC3CB1">
              <w:t>negative ancillary payment rate</w:t>
            </w:r>
          </w:p>
        </w:tc>
        <w:tc>
          <w:tcPr>
            <w:tcW w:w="6894" w:type="dxa"/>
          </w:tcPr>
          <w:p w14:paraId="4A2C4E0C" w14:textId="77777777" w:rsidR="00447964" w:rsidRPr="00341CCF" w:rsidRDefault="00447964" w:rsidP="00DE7653">
            <w:pPr>
              <w:pStyle w:val="TableText"/>
            </w:pPr>
            <w:r w:rsidRPr="00C736FD">
              <w:t xml:space="preserve">Determined for </w:t>
            </w:r>
            <w:r>
              <w:t xml:space="preserve">a </w:t>
            </w:r>
            <w:r>
              <w:rPr>
                <w:i/>
                <w:iCs/>
              </w:rPr>
              <w:t xml:space="preserve">gas day </w:t>
            </w:r>
            <w:r>
              <w:t xml:space="preserve">and </w:t>
            </w:r>
            <w:r w:rsidRPr="00C736FD">
              <w:t xml:space="preserve">an </w:t>
            </w:r>
            <w:r w:rsidRPr="00C736FD">
              <w:rPr>
                <w:i/>
                <w:iCs/>
              </w:rPr>
              <w:t>operating schedule</w:t>
            </w:r>
            <w:r w:rsidRPr="00C736FD">
              <w:t xml:space="preserve"> in accordance with the </w:t>
            </w:r>
            <w:r w:rsidRPr="00C736FD">
              <w:rPr>
                <w:i/>
                <w:iCs/>
              </w:rPr>
              <w:t>ancillary payment procedures</w:t>
            </w:r>
            <w:r>
              <w:rPr>
                <w:i/>
                <w:iCs/>
              </w:rPr>
              <w:t xml:space="preserve"> </w:t>
            </w:r>
            <w:r w:rsidRPr="00341CCF">
              <w:t>(</w:t>
            </w:r>
            <w:r>
              <w:t>NAVAPR</w:t>
            </w:r>
            <w:r>
              <w:rPr>
                <w:vertAlign w:val="subscript"/>
              </w:rPr>
              <w:t>s</w:t>
            </w:r>
            <w:r>
              <w:t>)</w:t>
            </w:r>
          </w:p>
        </w:tc>
      </w:tr>
      <w:tr w:rsidR="00447964" w:rsidRPr="005537C0" w14:paraId="77D88B1E" w14:textId="77777777" w:rsidTr="00F37294">
        <w:tc>
          <w:tcPr>
            <w:tcW w:w="2280" w:type="dxa"/>
          </w:tcPr>
          <w:p w14:paraId="401C65B1" w14:textId="77777777" w:rsidR="00447964" w:rsidRPr="00DC3CB1" w:rsidRDefault="00447964" w:rsidP="00DE7653">
            <w:pPr>
              <w:pStyle w:val="TableText"/>
            </w:pPr>
            <w:r w:rsidRPr="00DC3CB1">
              <w:t>positive ancillary payment rate</w:t>
            </w:r>
          </w:p>
        </w:tc>
        <w:tc>
          <w:tcPr>
            <w:tcW w:w="6894" w:type="dxa"/>
          </w:tcPr>
          <w:p w14:paraId="1C760CDF" w14:textId="77777777" w:rsidR="00447964" w:rsidRPr="00D42D79" w:rsidRDefault="00447964" w:rsidP="005B22F6">
            <w:pPr>
              <w:pStyle w:val="TableText"/>
            </w:pPr>
            <w:r w:rsidRPr="00C736FD">
              <w:t xml:space="preserve">Determined for </w:t>
            </w:r>
            <w:r>
              <w:t xml:space="preserve">a </w:t>
            </w:r>
            <w:r>
              <w:rPr>
                <w:i/>
                <w:iCs/>
              </w:rPr>
              <w:t xml:space="preserve">gas day </w:t>
            </w:r>
            <w:r>
              <w:t xml:space="preserve">and </w:t>
            </w:r>
            <w:r w:rsidRPr="00C736FD">
              <w:t xml:space="preserve">an </w:t>
            </w:r>
            <w:r w:rsidRPr="003522DA">
              <w:rPr>
                <w:i/>
                <w:iCs/>
              </w:rPr>
              <w:t xml:space="preserve">operating schedule </w:t>
            </w:r>
            <w:r w:rsidRPr="00C736FD">
              <w:t xml:space="preserve">in accordance with the </w:t>
            </w:r>
            <w:r w:rsidRPr="003522DA">
              <w:rPr>
                <w:i/>
                <w:iCs/>
              </w:rPr>
              <w:t>ancillary payment procedures</w:t>
            </w:r>
            <w:r w:rsidRPr="005B22F6">
              <w:t xml:space="preserve"> </w:t>
            </w:r>
            <w:r>
              <w:t>(PAVAPR</w:t>
            </w:r>
            <w:r w:rsidRPr="005B22F6">
              <w:t>s</w:t>
            </w:r>
            <w:r w:rsidRPr="00341CCF">
              <w:t>)</w:t>
            </w:r>
          </w:p>
        </w:tc>
      </w:tr>
      <w:tr w:rsidR="00447964" w:rsidRPr="005537C0" w14:paraId="115D2C09" w14:textId="77777777" w:rsidTr="00F37294">
        <w:tc>
          <w:tcPr>
            <w:tcW w:w="2280" w:type="dxa"/>
          </w:tcPr>
          <w:p w14:paraId="495E025F" w14:textId="77777777" w:rsidR="00447964" w:rsidRDefault="00447964" w:rsidP="007F1F01">
            <w:pPr>
              <w:pStyle w:val="TableText"/>
            </w:pPr>
            <w:r>
              <w:t>Quantity</w:t>
            </w:r>
          </w:p>
        </w:tc>
        <w:tc>
          <w:tcPr>
            <w:tcW w:w="6894" w:type="dxa"/>
          </w:tcPr>
          <w:p w14:paraId="368DD5BF" w14:textId="77777777" w:rsidR="00447964" w:rsidRDefault="00447964" w:rsidP="007F1F01">
            <w:pPr>
              <w:pStyle w:val="TableText"/>
            </w:pPr>
            <w:r>
              <w:t>A quantity of gas in GJ</w:t>
            </w:r>
          </w:p>
          <w:p w14:paraId="7A4DD50D" w14:textId="77777777" w:rsidR="00447964" w:rsidRDefault="00447964" w:rsidP="007F1F01">
            <w:pPr>
              <w:pStyle w:val="TableText"/>
            </w:pPr>
          </w:p>
          <w:p w14:paraId="16F35DAB" w14:textId="68F3AC57" w:rsidR="00447964" w:rsidRDefault="00447964" w:rsidP="007F1F01">
            <w:pPr>
              <w:pStyle w:val="TableText"/>
            </w:pPr>
            <w:r>
              <w:t xml:space="preserve">For </w:t>
            </w:r>
            <w:r w:rsidR="00ED0CBA">
              <w:t>example,</w:t>
            </w:r>
            <w:r>
              <w:t xml:space="preserve"> a surprise uplift quantity 1,000GJ</w:t>
            </w:r>
          </w:p>
        </w:tc>
      </w:tr>
      <w:tr w:rsidR="00447964" w:rsidRPr="005537C0" w14:paraId="50D9DC5C" w14:textId="77777777" w:rsidTr="00F37294">
        <w:tc>
          <w:tcPr>
            <w:tcW w:w="2280" w:type="dxa"/>
          </w:tcPr>
          <w:p w14:paraId="3E6F109D" w14:textId="77777777" w:rsidR="00447964" w:rsidRDefault="00447964" w:rsidP="00EB2BC3">
            <w:pPr>
              <w:pStyle w:val="TableText"/>
            </w:pPr>
            <w:r>
              <w:t xml:space="preserve">residual surprise quantity </w:t>
            </w:r>
          </w:p>
        </w:tc>
        <w:tc>
          <w:tcPr>
            <w:tcW w:w="6894" w:type="dxa"/>
          </w:tcPr>
          <w:p w14:paraId="45DD2B7B" w14:textId="77777777" w:rsidR="00447964" w:rsidRDefault="00447964" w:rsidP="00EB2BC3">
            <w:pPr>
              <w:pStyle w:val="TableText"/>
            </w:pPr>
          </w:p>
        </w:tc>
      </w:tr>
      <w:tr w:rsidR="00447964" w:rsidRPr="005537C0" w14:paraId="5756C301" w14:textId="77777777" w:rsidTr="00F37294">
        <w:tc>
          <w:tcPr>
            <w:tcW w:w="2280" w:type="dxa"/>
          </w:tcPr>
          <w:p w14:paraId="50E7849F" w14:textId="77777777" w:rsidR="00447964" w:rsidRPr="00DC3CB1" w:rsidRDefault="00447964" w:rsidP="00EB2BC3">
            <w:pPr>
              <w:pStyle w:val="TableText"/>
            </w:pPr>
            <w:r>
              <w:t>residual uplift payment quantity</w:t>
            </w:r>
          </w:p>
        </w:tc>
        <w:tc>
          <w:tcPr>
            <w:tcW w:w="6894" w:type="dxa"/>
          </w:tcPr>
          <w:p w14:paraId="5CD7A160" w14:textId="77777777" w:rsidR="00447964" w:rsidRPr="00D816A8" w:rsidRDefault="00447964" w:rsidP="00EB2BC3">
            <w:pPr>
              <w:pStyle w:val="TableText"/>
            </w:pPr>
            <w:r>
              <w:t xml:space="preserve">Determined for an </w:t>
            </w:r>
            <w:r>
              <w:rPr>
                <w:i/>
                <w:iCs/>
              </w:rPr>
              <w:t>operating schedule</w:t>
            </w:r>
            <w:r>
              <w:t xml:space="preserve"> as the </w:t>
            </w:r>
            <w:r>
              <w:rPr>
                <w:i/>
                <w:iCs/>
              </w:rPr>
              <w:t xml:space="preserve">total uplift payment quantity </w:t>
            </w:r>
            <w:r>
              <w:t xml:space="preserve">less </w:t>
            </w:r>
            <w:r w:rsidRPr="001368E5">
              <w:rPr>
                <w:i/>
                <w:iCs/>
              </w:rPr>
              <w:t>DTS SP uplift quantity</w:t>
            </w:r>
            <w:r>
              <w:t xml:space="preserve"> if </w:t>
            </w:r>
            <w:r>
              <w:rPr>
                <w:i/>
                <w:iCs/>
              </w:rPr>
              <w:t>total uplift payment quantity</w:t>
            </w:r>
            <w:r>
              <w:t xml:space="preserve"> is positive, and the </w:t>
            </w:r>
            <w:r>
              <w:rPr>
                <w:i/>
                <w:iCs/>
              </w:rPr>
              <w:t xml:space="preserve">total uplift payment quantity </w:t>
            </w:r>
            <w:r>
              <w:t>if negative.</w:t>
            </w:r>
          </w:p>
        </w:tc>
      </w:tr>
      <w:tr w:rsidR="00447964" w:rsidRPr="005537C0" w14:paraId="0AC1AD52" w14:textId="77777777" w:rsidTr="00F37294">
        <w:tc>
          <w:tcPr>
            <w:tcW w:w="2280" w:type="dxa"/>
          </w:tcPr>
          <w:p w14:paraId="3683E31E" w14:textId="77777777" w:rsidR="00447964" w:rsidRDefault="00447964" w:rsidP="007F1F01">
            <w:pPr>
              <w:pStyle w:val="TableText"/>
            </w:pPr>
            <w:r>
              <w:t>SEA capacity</w:t>
            </w:r>
          </w:p>
        </w:tc>
        <w:tc>
          <w:tcPr>
            <w:tcW w:w="6894" w:type="dxa"/>
          </w:tcPr>
          <w:p w14:paraId="7CACC2FF" w14:textId="77777777" w:rsidR="00447964" w:rsidRDefault="00447964" w:rsidP="007F1F01">
            <w:pPr>
              <w:pStyle w:val="TableText"/>
            </w:pPr>
            <w:r>
              <w:t xml:space="preserve">The flow capacity for the portion of the </w:t>
            </w:r>
            <w:r w:rsidRPr="005C2884">
              <w:rPr>
                <w:i/>
                <w:iCs/>
              </w:rPr>
              <w:t>DTS</w:t>
            </w:r>
            <w:r>
              <w:t xml:space="preserve"> affected by a </w:t>
            </w:r>
            <w:r w:rsidRPr="005C2884">
              <w:rPr>
                <w:i/>
                <w:iCs/>
              </w:rPr>
              <w:t xml:space="preserve">DTS SP uplift event </w:t>
            </w:r>
            <w:r>
              <w:t xml:space="preserve">as determined using the </w:t>
            </w:r>
            <w:r w:rsidRPr="005C2884">
              <w:rPr>
                <w:i/>
                <w:iCs/>
              </w:rPr>
              <w:t>common model</w:t>
            </w:r>
            <w:r>
              <w:t xml:space="preserve"> and system conditions applicable at the start of the </w:t>
            </w:r>
            <w:r w:rsidRPr="005C2884">
              <w:rPr>
                <w:i/>
                <w:iCs/>
              </w:rPr>
              <w:t>DTS SP uplift event</w:t>
            </w:r>
            <w:r>
              <w:t xml:space="preserve">. </w:t>
            </w:r>
          </w:p>
        </w:tc>
      </w:tr>
      <w:tr w:rsidR="00447964" w:rsidRPr="005537C0" w14:paraId="184FEE46" w14:textId="77777777" w:rsidTr="00F37294">
        <w:tc>
          <w:tcPr>
            <w:tcW w:w="2280" w:type="dxa"/>
          </w:tcPr>
          <w:p w14:paraId="4322DFDB" w14:textId="77777777" w:rsidR="00447964" w:rsidRDefault="00447964" w:rsidP="007F1F01">
            <w:pPr>
              <w:pStyle w:val="TableText"/>
            </w:pPr>
            <w:r>
              <w:t>SEA operating schedule</w:t>
            </w:r>
          </w:p>
        </w:tc>
        <w:tc>
          <w:tcPr>
            <w:tcW w:w="6894" w:type="dxa"/>
          </w:tcPr>
          <w:p w14:paraId="2BF2AFD3" w14:textId="77777777" w:rsidR="00447964" w:rsidRDefault="00447964" w:rsidP="007F1F01">
            <w:pPr>
              <w:pStyle w:val="TableText"/>
            </w:pPr>
            <w:r>
              <w:t xml:space="preserve">An </w:t>
            </w:r>
            <w:r w:rsidRPr="00D243BF">
              <w:rPr>
                <w:i/>
                <w:iCs/>
              </w:rPr>
              <w:t xml:space="preserve">operating schedule </w:t>
            </w:r>
            <w:r>
              <w:t xml:space="preserve">produced by AEMO in manner consistent with NGR 215 and the </w:t>
            </w:r>
            <w:r w:rsidRPr="00D243BF">
              <w:rPr>
                <w:i/>
                <w:iCs/>
              </w:rPr>
              <w:t>gas scheduling procedures</w:t>
            </w:r>
            <w:r>
              <w:t>, with the SEA capacity used as a constraint</w:t>
            </w:r>
          </w:p>
        </w:tc>
      </w:tr>
      <w:tr w:rsidR="002C1C6C" w:rsidRPr="005537C0" w14:paraId="536C5ED6" w14:textId="77777777" w:rsidTr="00F37294">
        <w:tc>
          <w:tcPr>
            <w:tcW w:w="2280" w:type="dxa"/>
          </w:tcPr>
          <w:p w14:paraId="7EBE6F9E" w14:textId="4A3438C4" w:rsidR="002C1C6C" w:rsidRPr="00DB6EC4" w:rsidRDefault="002C1C6C" w:rsidP="007F1F01">
            <w:pPr>
              <w:pStyle w:val="TableText"/>
            </w:pPr>
            <w:r>
              <w:t>SEA pricing schedule</w:t>
            </w:r>
          </w:p>
        </w:tc>
        <w:tc>
          <w:tcPr>
            <w:tcW w:w="6894" w:type="dxa"/>
          </w:tcPr>
          <w:p w14:paraId="6ACCF1FD" w14:textId="60555D64" w:rsidR="002C1C6C" w:rsidRPr="002C1C6C" w:rsidRDefault="002C1C6C" w:rsidP="007F1F01">
            <w:pPr>
              <w:pStyle w:val="TableText"/>
            </w:pPr>
            <w:r>
              <w:t xml:space="preserve">A </w:t>
            </w:r>
            <w:r>
              <w:rPr>
                <w:i/>
                <w:iCs/>
              </w:rPr>
              <w:t>pricing schedule</w:t>
            </w:r>
            <w:r>
              <w:t xml:space="preserve"> produced by AEMO in manner consistent with NGR </w:t>
            </w:r>
            <w:r w:rsidR="00B8530E">
              <w:t>221</w:t>
            </w:r>
            <w:r>
              <w:t xml:space="preserve"> and the </w:t>
            </w:r>
            <w:r w:rsidRPr="00D243BF">
              <w:rPr>
                <w:i/>
                <w:iCs/>
              </w:rPr>
              <w:t>gas scheduling procedures</w:t>
            </w:r>
            <w:r>
              <w:t>, with the SEA capacity used as a constraint</w:t>
            </w:r>
          </w:p>
        </w:tc>
      </w:tr>
      <w:tr w:rsidR="00447964" w:rsidRPr="005537C0" w14:paraId="334FB5FC" w14:textId="77777777" w:rsidTr="00F37294">
        <w:tc>
          <w:tcPr>
            <w:tcW w:w="2280" w:type="dxa"/>
          </w:tcPr>
          <w:p w14:paraId="4D74A4E2" w14:textId="77777777" w:rsidR="00447964" w:rsidRDefault="00447964" w:rsidP="007F1F01">
            <w:pPr>
              <w:pStyle w:val="TableText"/>
            </w:pPr>
            <w:r w:rsidRPr="00DB6EC4">
              <w:t>SIHDQ</w:t>
            </w:r>
          </w:p>
        </w:tc>
        <w:tc>
          <w:tcPr>
            <w:tcW w:w="6894" w:type="dxa"/>
          </w:tcPr>
          <w:p w14:paraId="0EE64773" w14:textId="3A15AE72" w:rsidR="00447964" w:rsidRDefault="00447964" w:rsidP="007F1F01">
            <w:pPr>
              <w:pStyle w:val="TableText"/>
            </w:pPr>
            <w:r w:rsidRPr="00DB6EC4">
              <w:t>Scheduled interval hourly deviation</w:t>
            </w:r>
            <w:r>
              <w:t xml:space="preserve"> as determined in </w:t>
            </w:r>
            <w:r w:rsidR="0052462D">
              <w:t>section</w:t>
            </w:r>
            <w:r w:rsidR="00965F6E">
              <w:rPr>
                <w:color w:val="2B579A"/>
                <w:shd w:val="clear" w:color="auto" w:fill="E6E6E6"/>
              </w:rPr>
              <w:fldChar w:fldCharType="begin"/>
            </w:r>
            <w:r w:rsidR="00965F6E">
              <w:instrText xml:space="preserve"> REF _Ref57199762 \n \h </w:instrText>
            </w:r>
            <w:r w:rsidR="00965F6E">
              <w:rPr>
                <w:color w:val="2B579A"/>
                <w:shd w:val="clear" w:color="auto" w:fill="E6E6E6"/>
              </w:rPr>
            </w:r>
            <w:r w:rsidR="00965F6E">
              <w:rPr>
                <w:color w:val="2B579A"/>
                <w:shd w:val="clear" w:color="auto" w:fill="E6E6E6"/>
              </w:rPr>
              <w:fldChar w:fldCharType="separate"/>
            </w:r>
            <w:r w:rsidR="00BA68AF">
              <w:t>7.3.1</w:t>
            </w:r>
            <w:r w:rsidR="00965F6E">
              <w:rPr>
                <w:color w:val="2B579A"/>
                <w:shd w:val="clear" w:color="auto" w:fill="E6E6E6"/>
              </w:rPr>
              <w:fldChar w:fldCharType="end"/>
            </w:r>
            <w:r>
              <w:rPr>
                <w:color w:val="2B579A"/>
                <w:shd w:val="clear" w:color="auto" w:fill="E6E6E6"/>
              </w:rPr>
              <w:fldChar w:fldCharType="begin"/>
            </w:r>
            <w:r>
              <w:instrText xml:space="preserve"> REF _Ref54622103 \r \h </w:instrText>
            </w:r>
            <w:r>
              <w:rPr>
                <w:color w:val="2B579A"/>
                <w:shd w:val="clear" w:color="auto" w:fill="E6E6E6"/>
              </w:rPr>
            </w:r>
            <w:r>
              <w:rPr>
                <w:color w:val="2B579A"/>
                <w:shd w:val="clear" w:color="auto" w:fill="E6E6E6"/>
              </w:rPr>
              <w:fldChar w:fldCharType="separate"/>
            </w:r>
            <w:r w:rsidR="00BA68AF">
              <w:t>(c)</w:t>
            </w:r>
            <w:r>
              <w:rPr>
                <w:color w:val="2B579A"/>
                <w:shd w:val="clear" w:color="auto" w:fill="E6E6E6"/>
              </w:rPr>
              <w:fldChar w:fldCharType="end"/>
            </w:r>
          </w:p>
        </w:tc>
      </w:tr>
      <w:tr w:rsidR="00447964" w:rsidRPr="005537C0" w14:paraId="655C39A9" w14:textId="77777777" w:rsidTr="00F37294">
        <w:tc>
          <w:tcPr>
            <w:tcW w:w="2280" w:type="dxa"/>
          </w:tcPr>
          <w:p w14:paraId="140548A9" w14:textId="77777777" w:rsidR="00447964" w:rsidRDefault="00447964" w:rsidP="007F1F01">
            <w:pPr>
              <w:pStyle w:val="TableText"/>
            </w:pPr>
            <w:r>
              <w:t>surprise uplift</w:t>
            </w:r>
          </w:p>
        </w:tc>
        <w:tc>
          <w:tcPr>
            <w:tcW w:w="6894" w:type="dxa"/>
          </w:tcPr>
          <w:p w14:paraId="29C13325" w14:textId="77777777" w:rsidR="00447964" w:rsidRDefault="00447964" w:rsidP="007F1F01">
            <w:pPr>
              <w:pStyle w:val="TableText"/>
            </w:pPr>
            <w:r>
              <w:t xml:space="preserve">An </w:t>
            </w:r>
            <w:r w:rsidRPr="00C11589">
              <w:rPr>
                <w:i/>
                <w:iCs/>
              </w:rPr>
              <w:t>uplift payment category</w:t>
            </w:r>
            <w:r>
              <w:t xml:space="preserve"> as determined under these Procedures.</w:t>
            </w:r>
          </w:p>
          <w:p w14:paraId="73D3CB4F" w14:textId="77777777" w:rsidR="00447964" w:rsidRDefault="00447964" w:rsidP="007F1F01">
            <w:pPr>
              <w:pStyle w:val="TableText"/>
            </w:pPr>
          </w:p>
          <w:p w14:paraId="1F2B90BC" w14:textId="55144F9D" w:rsidR="00447964" w:rsidRDefault="00447964" w:rsidP="007F1F01">
            <w:pPr>
              <w:pStyle w:val="TableText"/>
            </w:pPr>
            <w:r>
              <w:t xml:space="preserve">Surprise uplift is allocated to </w:t>
            </w:r>
            <w:r w:rsidRPr="00CB4DEE">
              <w:rPr>
                <w:i/>
                <w:iCs/>
              </w:rPr>
              <w:t>market participants</w:t>
            </w:r>
            <w:r>
              <w:t xml:space="preserve"> who have not followed their </w:t>
            </w:r>
            <w:r w:rsidRPr="00EA654C">
              <w:rPr>
                <w:i/>
                <w:iCs/>
              </w:rPr>
              <w:t>effective demand forecast</w:t>
            </w:r>
            <w:r>
              <w:t xml:space="preserve"> </w:t>
            </w:r>
            <w:r w:rsidR="003721F1">
              <w:t>or scheduling</w:t>
            </w:r>
            <w:r w:rsidRPr="00725E38">
              <w:rPr>
                <w:i/>
                <w:iCs/>
              </w:rPr>
              <w:t xml:space="preserve"> instructions</w:t>
            </w:r>
            <w:r>
              <w:t xml:space="preserve"> for the preceding </w:t>
            </w:r>
            <w:r w:rsidRPr="00CB4DEE">
              <w:rPr>
                <w:i/>
                <w:iCs/>
              </w:rPr>
              <w:t>scheduling interval</w:t>
            </w:r>
            <w:r>
              <w:t xml:space="preserve"> or have changed their </w:t>
            </w:r>
            <w:r w:rsidRPr="00725E38">
              <w:rPr>
                <w:i/>
                <w:iCs/>
              </w:rPr>
              <w:t>demand forecast</w:t>
            </w:r>
            <w:r>
              <w:t xml:space="preserve"> and/or have changed </w:t>
            </w:r>
            <w:r w:rsidRPr="00725E38">
              <w:rPr>
                <w:i/>
                <w:iCs/>
              </w:rPr>
              <w:t>scheduling instructions</w:t>
            </w:r>
            <w:r>
              <w:t xml:space="preserve"> for the </w:t>
            </w:r>
            <w:r w:rsidRPr="00725E38">
              <w:t>upcoming</w:t>
            </w:r>
            <w:r w:rsidRPr="00725E38">
              <w:rPr>
                <w:i/>
                <w:iCs/>
              </w:rPr>
              <w:t xml:space="preserve"> scheduling horizon</w:t>
            </w:r>
            <w:r>
              <w:t>.</w:t>
            </w:r>
          </w:p>
        </w:tc>
      </w:tr>
      <w:tr w:rsidR="00447964" w:rsidRPr="005537C0" w14:paraId="31D8353C" w14:textId="77777777" w:rsidTr="00F37294">
        <w:tc>
          <w:tcPr>
            <w:tcW w:w="2280" w:type="dxa"/>
          </w:tcPr>
          <w:p w14:paraId="1E1CFF88" w14:textId="77777777" w:rsidR="00447964" w:rsidRPr="00DC3CB1" w:rsidRDefault="00447964" w:rsidP="00DE7653">
            <w:pPr>
              <w:pStyle w:val="TableText"/>
            </w:pPr>
            <w:r w:rsidRPr="00DC3CB1">
              <w:t xml:space="preserve">total </w:t>
            </w:r>
            <w:r>
              <w:t>uplift</w:t>
            </w:r>
            <w:r w:rsidRPr="00DC3CB1">
              <w:t xml:space="preserve"> payment amount</w:t>
            </w:r>
          </w:p>
        </w:tc>
        <w:tc>
          <w:tcPr>
            <w:tcW w:w="6894" w:type="dxa"/>
          </w:tcPr>
          <w:p w14:paraId="5983D6E7" w14:textId="54A143A6" w:rsidR="00447964" w:rsidRPr="00B771C0" w:rsidRDefault="00447964" w:rsidP="00DE7653">
            <w:pPr>
              <w:pStyle w:val="TableText"/>
              <w:rPr>
                <w:vertAlign w:val="subscript"/>
              </w:rPr>
            </w:pPr>
            <w:r w:rsidRPr="00C736FD">
              <w:t xml:space="preserve">Determined for </w:t>
            </w:r>
            <w:r>
              <w:t xml:space="preserve">a </w:t>
            </w:r>
            <w:r>
              <w:rPr>
                <w:i/>
                <w:iCs/>
              </w:rPr>
              <w:t xml:space="preserve">gas day </w:t>
            </w:r>
            <w:r w:rsidRPr="00C736FD">
              <w:t>an</w:t>
            </w:r>
            <w:r>
              <w:t>d</w:t>
            </w:r>
            <w:r w:rsidRPr="00C736FD">
              <w:t xml:space="preserve"> </w:t>
            </w:r>
            <w:r w:rsidRPr="00C736FD">
              <w:rPr>
                <w:i/>
                <w:iCs/>
              </w:rPr>
              <w:t>operating schedule</w:t>
            </w:r>
            <w:r w:rsidRPr="00C736FD">
              <w:t xml:space="preserve"> in accordance with </w:t>
            </w:r>
            <w:r>
              <w:t xml:space="preserve">section </w:t>
            </w:r>
            <w:r>
              <w:rPr>
                <w:color w:val="2B579A"/>
                <w:shd w:val="clear" w:color="auto" w:fill="E6E6E6"/>
              </w:rPr>
              <w:fldChar w:fldCharType="begin"/>
            </w:r>
            <w:r>
              <w:instrText xml:space="preserve"> REF _Ref57967283 \n \h </w:instrText>
            </w:r>
            <w:r>
              <w:rPr>
                <w:color w:val="2B579A"/>
                <w:shd w:val="clear" w:color="auto" w:fill="E6E6E6"/>
              </w:rPr>
            </w:r>
            <w:r>
              <w:rPr>
                <w:color w:val="2B579A"/>
                <w:shd w:val="clear" w:color="auto" w:fill="E6E6E6"/>
              </w:rPr>
              <w:fldChar w:fldCharType="separate"/>
            </w:r>
            <w:r w:rsidR="00BA68AF">
              <w:t>3.2</w:t>
            </w:r>
            <w:r>
              <w:rPr>
                <w:color w:val="2B579A"/>
                <w:shd w:val="clear" w:color="auto" w:fill="E6E6E6"/>
              </w:rPr>
              <w:fldChar w:fldCharType="end"/>
            </w:r>
            <w:r>
              <w:rPr>
                <w:i/>
                <w:iCs/>
              </w:rPr>
              <w:t xml:space="preserve"> </w:t>
            </w:r>
            <w:r>
              <w:t>(TUP</w:t>
            </w:r>
            <w:r>
              <w:rPr>
                <w:vertAlign w:val="subscript"/>
              </w:rPr>
              <w:t>s</w:t>
            </w:r>
            <w:r w:rsidRPr="00B771C0">
              <w:t>)</w:t>
            </w:r>
          </w:p>
        </w:tc>
      </w:tr>
      <w:tr w:rsidR="00447964" w:rsidRPr="005537C0" w14:paraId="0935A6F9" w14:textId="77777777" w:rsidTr="00F37294">
        <w:tc>
          <w:tcPr>
            <w:tcW w:w="2280" w:type="dxa"/>
          </w:tcPr>
          <w:p w14:paraId="4E7F060E" w14:textId="77777777" w:rsidR="00447964" w:rsidRPr="00DC3CB1" w:rsidRDefault="00447964" w:rsidP="00DE7653">
            <w:pPr>
              <w:pStyle w:val="TableText"/>
            </w:pPr>
            <w:r w:rsidRPr="00DC3CB1">
              <w:t xml:space="preserve">total </w:t>
            </w:r>
            <w:r>
              <w:t>uplift</w:t>
            </w:r>
            <w:r w:rsidRPr="00DC3CB1">
              <w:t xml:space="preserve"> payment quantity</w:t>
            </w:r>
          </w:p>
        </w:tc>
        <w:tc>
          <w:tcPr>
            <w:tcW w:w="6894" w:type="dxa"/>
          </w:tcPr>
          <w:p w14:paraId="7A1816F5" w14:textId="0E35989A" w:rsidR="00447964" w:rsidRPr="003A1D77" w:rsidRDefault="00447964" w:rsidP="00DE7653">
            <w:pPr>
              <w:pStyle w:val="TableText"/>
            </w:pPr>
            <w:r w:rsidRPr="00C736FD">
              <w:t>Determined for</w:t>
            </w:r>
            <w:r>
              <w:t xml:space="preserve"> a </w:t>
            </w:r>
            <w:r>
              <w:rPr>
                <w:i/>
                <w:iCs/>
              </w:rPr>
              <w:t>gas day</w:t>
            </w:r>
            <w:r w:rsidRPr="00C736FD">
              <w:t xml:space="preserve"> an</w:t>
            </w:r>
            <w:r>
              <w:t>d</w:t>
            </w:r>
            <w:r w:rsidRPr="00C736FD">
              <w:t xml:space="preserve"> </w:t>
            </w:r>
            <w:r w:rsidRPr="00C736FD">
              <w:rPr>
                <w:i/>
                <w:iCs/>
              </w:rPr>
              <w:t>operating schedule</w:t>
            </w:r>
            <w:r w:rsidRPr="00C736FD">
              <w:t xml:space="preserve"> in accordance with the</w:t>
            </w:r>
            <w:r>
              <w:t xml:space="preserve"> section </w:t>
            </w:r>
            <w:r>
              <w:rPr>
                <w:color w:val="2B579A"/>
                <w:shd w:val="clear" w:color="auto" w:fill="E6E6E6"/>
              </w:rPr>
              <w:fldChar w:fldCharType="begin"/>
            </w:r>
            <w:r>
              <w:instrText xml:space="preserve"> REF _Ref57987368 \n \h </w:instrText>
            </w:r>
            <w:r>
              <w:rPr>
                <w:color w:val="2B579A"/>
                <w:shd w:val="clear" w:color="auto" w:fill="E6E6E6"/>
              </w:rPr>
            </w:r>
            <w:r>
              <w:rPr>
                <w:color w:val="2B579A"/>
                <w:shd w:val="clear" w:color="auto" w:fill="E6E6E6"/>
              </w:rPr>
              <w:fldChar w:fldCharType="separate"/>
            </w:r>
            <w:r w:rsidR="00BA68AF">
              <w:t>3.3</w:t>
            </w:r>
            <w:r>
              <w:rPr>
                <w:color w:val="2B579A"/>
                <w:shd w:val="clear" w:color="auto" w:fill="E6E6E6"/>
              </w:rPr>
              <w:fldChar w:fldCharType="end"/>
            </w:r>
            <w:r>
              <w:t xml:space="preserve"> (TUQ</w:t>
            </w:r>
            <w:r>
              <w:rPr>
                <w:vertAlign w:val="subscript"/>
              </w:rPr>
              <w:t>s</w:t>
            </w:r>
            <w:r>
              <w:t>)</w:t>
            </w:r>
          </w:p>
        </w:tc>
      </w:tr>
      <w:tr w:rsidR="00447964" w:rsidRPr="005537C0" w14:paraId="4C1D1100" w14:textId="77777777" w:rsidTr="00F37294">
        <w:tc>
          <w:tcPr>
            <w:tcW w:w="2280" w:type="dxa"/>
          </w:tcPr>
          <w:p w14:paraId="6A535C92" w14:textId="77777777" w:rsidR="00447964" w:rsidRPr="0019250F" w:rsidRDefault="00447964" w:rsidP="007F1F01">
            <w:pPr>
              <w:pStyle w:val="TableText"/>
            </w:pPr>
            <w:r>
              <w:t>uplift payment category</w:t>
            </w:r>
          </w:p>
        </w:tc>
        <w:tc>
          <w:tcPr>
            <w:tcW w:w="6894" w:type="dxa"/>
          </w:tcPr>
          <w:p w14:paraId="1B133D22" w14:textId="11C7EF0D" w:rsidR="00447964" w:rsidRPr="0019250F" w:rsidRDefault="004A4E82" w:rsidP="007F1F01">
            <w:pPr>
              <w:pStyle w:val="TableText"/>
            </w:pPr>
            <w:r>
              <w:t xml:space="preserve">each category of </w:t>
            </w:r>
            <w:r w:rsidRPr="004A4E82">
              <w:rPr>
                <w:i/>
                <w:iCs/>
              </w:rPr>
              <w:t xml:space="preserve">uplift payment </w:t>
            </w:r>
            <w:r>
              <w:t>determined by AEMO in the</w:t>
            </w:r>
            <w:r w:rsidRPr="004A4E82">
              <w:rPr>
                <w:i/>
                <w:iCs/>
              </w:rPr>
              <w:t xml:space="preserve"> uplift payment procedures</w:t>
            </w:r>
          </w:p>
        </w:tc>
      </w:tr>
    </w:tbl>
    <w:p w14:paraId="7CF47917" w14:textId="77777777" w:rsidR="005537C0" w:rsidRDefault="005537C0" w:rsidP="0019250F">
      <w:pPr>
        <w:pStyle w:val="TableFootnote"/>
      </w:pPr>
    </w:p>
    <w:p w14:paraId="49D66B27" w14:textId="77777777" w:rsidR="00F37294" w:rsidRDefault="00F37294" w:rsidP="00126592">
      <w:pPr>
        <w:pStyle w:val="Heading3"/>
      </w:pPr>
      <w:r>
        <w:t>Interpretation</w:t>
      </w:r>
    </w:p>
    <w:p w14:paraId="41D9A47D" w14:textId="77777777" w:rsidR="00F37294" w:rsidRDefault="00F37294" w:rsidP="00F37294">
      <w:pPr>
        <w:pStyle w:val="BodyText"/>
      </w:pPr>
      <w:r>
        <w:t xml:space="preserve">The following principles of interpretation apply to these Procedures unless otherwise expressly indicated: </w:t>
      </w:r>
    </w:p>
    <w:p w14:paraId="558829C6" w14:textId="43AF53F2" w:rsidR="0083505D" w:rsidRDefault="0083505D" w:rsidP="0083505D">
      <w:pPr>
        <w:pStyle w:val="ParaNum1"/>
      </w:pPr>
      <w:bookmarkStart w:id="12" w:name="_Ref54621805"/>
      <w:r>
        <w:lastRenderedPageBreak/>
        <w:t xml:space="preserve">These Procedures are subject to the principles of interpretation set out in Schedule </w:t>
      </w:r>
      <w:r w:rsidRPr="00AF107B">
        <w:t>2 of the</w:t>
      </w:r>
      <w:r w:rsidR="007B599E">
        <w:t xml:space="preserve"> National</w:t>
      </w:r>
      <w:r w:rsidR="005F0921">
        <w:t xml:space="preserve"> Gas</w:t>
      </w:r>
      <w:r w:rsidRPr="00AF107B">
        <w:t xml:space="preserve"> </w:t>
      </w:r>
      <w:r w:rsidR="007B599E">
        <w:t>Law</w:t>
      </w:r>
      <w:r>
        <w:t>.</w:t>
      </w:r>
      <w:bookmarkEnd w:id="12"/>
    </w:p>
    <w:p w14:paraId="63B76D04" w14:textId="15788574" w:rsidR="0083505D" w:rsidRPr="00AF107B" w:rsidRDefault="0083505D" w:rsidP="00126592">
      <w:pPr>
        <w:pStyle w:val="ParaNum1"/>
      </w:pPr>
      <w:r>
        <w:t>R</w:t>
      </w:r>
      <w:r w:rsidRPr="00AF107B">
        <w:t>eferences to time are references to Australian Eastern Sta</w:t>
      </w:r>
      <w:r>
        <w:t>ndard Time.</w:t>
      </w:r>
    </w:p>
    <w:p w14:paraId="4F00F9C0" w14:textId="77777777" w:rsidR="001F0280" w:rsidRDefault="005537C0" w:rsidP="00126592">
      <w:pPr>
        <w:pStyle w:val="Heading2"/>
      </w:pPr>
      <w:bookmarkStart w:id="13" w:name="_Toc445212699"/>
      <w:bookmarkStart w:id="14" w:name="_Toc445384266"/>
      <w:bookmarkStart w:id="15" w:name="_Toc62480190"/>
      <w:r>
        <w:t>R</w:t>
      </w:r>
      <w:r w:rsidR="001F0280">
        <w:t xml:space="preserve">elated </w:t>
      </w:r>
      <w:r w:rsidR="0019250F">
        <w:t>d</w:t>
      </w:r>
      <w:r w:rsidR="001F0280">
        <w:t>ocuments</w:t>
      </w:r>
      <w:bookmarkEnd w:id="13"/>
      <w:bookmarkEnd w:id="14"/>
      <w:bookmarkEnd w:id="15"/>
    </w:p>
    <w:p w14:paraId="737A1051" w14:textId="77777777" w:rsidR="005537C0" w:rsidRDefault="001F0280" w:rsidP="001F0280">
      <w:pPr>
        <w:pStyle w:val="BodyText"/>
      </w:pPr>
      <w:r>
        <w:t>[Include references to related procedures, instructions or forms if relevant, otherwise delete this section.]</w:t>
      </w:r>
    </w:p>
    <w:tbl>
      <w:tblPr>
        <w:tblStyle w:val="AEMOTable"/>
        <w:tblW w:w="0" w:type="auto"/>
        <w:tblLook w:val="0620" w:firstRow="1" w:lastRow="0" w:firstColumn="0" w:lastColumn="0" w:noHBand="1" w:noVBand="1"/>
      </w:tblPr>
      <w:tblGrid>
        <w:gridCol w:w="3058"/>
        <w:gridCol w:w="3058"/>
        <w:gridCol w:w="3058"/>
      </w:tblGrid>
      <w:tr w:rsidR="005537C0" w:rsidRPr="005537C0" w14:paraId="001E54D6" w14:textId="77777777" w:rsidTr="005537C0">
        <w:trPr>
          <w:cnfStyle w:val="100000000000" w:firstRow="1" w:lastRow="0" w:firstColumn="0" w:lastColumn="0" w:oddVBand="0" w:evenVBand="0" w:oddHBand="0" w:evenHBand="0" w:firstRowFirstColumn="0" w:firstRowLastColumn="0" w:lastRowFirstColumn="0" w:lastRowLastColumn="0"/>
        </w:trPr>
        <w:tc>
          <w:tcPr>
            <w:tcW w:w="3058" w:type="dxa"/>
          </w:tcPr>
          <w:p w14:paraId="2CD0DDE6" w14:textId="77777777" w:rsidR="005537C0" w:rsidRPr="005537C0" w:rsidRDefault="005537C0" w:rsidP="007F1F01">
            <w:pPr>
              <w:pStyle w:val="TableTitle"/>
            </w:pPr>
            <w:r w:rsidRPr="005537C0">
              <w:t>Reference</w:t>
            </w:r>
          </w:p>
        </w:tc>
        <w:tc>
          <w:tcPr>
            <w:tcW w:w="3058" w:type="dxa"/>
          </w:tcPr>
          <w:p w14:paraId="63DD9EBD" w14:textId="77777777" w:rsidR="005537C0" w:rsidRPr="005537C0" w:rsidRDefault="005537C0" w:rsidP="007F1F01">
            <w:pPr>
              <w:pStyle w:val="TableTitle"/>
            </w:pPr>
            <w:r w:rsidRPr="005537C0">
              <w:t>Title</w:t>
            </w:r>
          </w:p>
        </w:tc>
        <w:tc>
          <w:tcPr>
            <w:tcW w:w="3058" w:type="dxa"/>
          </w:tcPr>
          <w:p w14:paraId="481F9EDD" w14:textId="77777777" w:rsidR="005537C0" w:rsidRPr="005537C0" w:rsidRDefault="005537C0" w:rsidP="007F1F01">
            <w:pPr>
              <w:pStyle w:val="TableTitle"/>
            </w:pPr>
            <w:r w:rsidRPr="005537C0">
              <w:t>Location</w:t>
            </w:r>
          </w:p>
        </w:tc>
      </w:tr>
      <w:tr w:rsidR="005537C0" w:rsidRPr="005537C0" w14:paraId="113D9C3D" w14:textId="77777777" w:rsidTr="005537C0">
        <w:tc>
          <w:tcPr>
            <w:tcW w:w="3058" w:type="dxa"/>
          </w:tcPr>
          <w:p w14:paraId="26A95356" w14:textId="27E82314" w:rsidR="005537C0" w:rsidRPr="005537C0" w:rsidRDefault="008F1AA1" w:rsidP="00F50600">
            <w:pPr>
              <w:pStyle w:val="TableText"/>
            </w:pPr>
            <w:r>
              <w:t>Ancillary Payment Procedures (NGR 23</w:t>
            </w:r>
            <w:r w:rsidR="00D636A8">
              <w:t>9</w:t>
            </w:r>
            <w:r>
              <w:t>)</w:t>
            </w:r>
          </w:p>
        </w:tc>
        <w:tc>
          <w:tcPr>
            <w:tcW w:w="3058" w:type="dxa"/>
          </w:tcPr>
          <w:p w14:paraId="48EEC98F" w14:textId="00AD3467" w:rsidR="005537C0" w:rsidRPr="00185897" w:rsidRDefault="00F50600" w:rsidP="00F50600">
            <w:pPr>
              <w:pStyle w:val="TableText"/>
            </w:pPr>
            <w:r>
              <w:t>Ancillary Payment Procedures (Victoria)</w:t>
            </w:r>
          </w:p>
        </w:tc>
        <w:tc>
          <w:tcPr>
            <w:tcW w:w="3058" w:type="dxa"/>
          </w:tcPr>
          <w:p w14:paraId="0BB74779" w14:textId="1DF6FA08" w:rsidR="005537C0" w:rsidRPr="005537C0" w:rsidRDefault="00F50600" w:rsidP="00090AF7">
            <w:pPr>
              <w:pStyle w:val="TableText"/>
            </w:pPr>
            <w:r>
              <w:t>AEMO website</w:t>
            </w:r>
          </w:p>
        </w:tc>
      </w:tr>
      <w:tr w:rsidR="005537C0" w:rsidRPr="005537C0" w14:paraId="3961D5A8" w14:textId="77777777" w:rsidTr="005537C0">
        <w:tc>
          <w:tcPr>
            <w:tcW w:w="3058" w:type="dxa"/>
          </w:tcPr>
          <w:p w14:paraId="039F9B3E" w14:textId="77777777" w:rsidR="005537C0" w:rsidRPr="005537C0" w:rsidRDefault="005537C0" w:rsidP="00090AF7">
            <w:pPr>
              <w:pStyle w:val="TableText"/>
            </w:pPr>
          </w:p>
        </w:tc>
        <w:tc>
          <w:tcPr>
            <w:tcW w:w="3058" w:type="dxa"/>
          </w:tcPr>
          <w:p w14:paraId="1D134D27" w14:textId="77777777" w:rsidR="005537C0" w:rsidRPr="00185897" w:rsidRDefault="005537C0" w:rsidP="00090AF7">
            <w:pPr>
              <w:pStyle w:val="TableText"/>
            </w:pPr>
          </w:p>
        </w:tc>
        <w:tc>
          <w:tcPr>
            <w:tcW w:w="3058" w:type="dxa"/>
          </w:tcPr>
          <w:p w14:paraId="08838A6B" w14:textId="77777777" w:rsidR="005537C0" w:rsidRPr="005537C0" w:rsidRDefault="005537C0" w:rsidP="00090AF7">
            <w:pPr>
              <w:pStyle w:val="TableText"/>
            </w:pPr>
          </w:p>
        </w:tc>
      </w:tr>
    </w:tbl>
    <w:p w14:paraId="794E5D01" w14:textId="77777777" w:rsidR="005537C0" w:rsidRDefault="005537C0" w:rsidP="0019250F">
      <w:pPr>
        <w:pStyle w:val="TableFootnote"/>
      </w:pPr>
    </w:p>
    <w:p w14:paraId="4E52DA6F" w14:textId="3E647B08" w:rsidR="008F2864" w:rsidRDefault="008E3ACA" w:rsidP="00126592">
      <w:pPr>
        <w:pStyle w:val="Heading1"/>
        <w:rPr>
          <w:lang w:eastAsia="en-AU"/>
        </w:rPr>
      </w:pPr>
      <w:bookmarkStart w:id="16" w:name="_Toc445212700"/>
      <w:bookmarkStart w:id="17" w:name="_Toc445384267"/>
      <w:bookmarkStart w:id="18" w:name="_Toc62480191"/>
      <w:r>
        <w:rPr>
          <w:lang w:eastAsia="en-AU"/>
        </w:rPr>
        <w:t>Uplift payments</w:t>
      </w:r>
      <w:bookmarkEnd w:id="16"/>
      <w:bookmarkEnd w:id="17"/>
      <w:r w:rsidR="0097296F">
        <w:rPr>
          <w:lang w:eastAsia="en-AU"/>
        </w:rPr>
        <w:t xml:space="preserve"> - general</w:t>
      </w:r>
      <w:bookmarkEnd w:id="18"/>
    </w:p>
    <w:p w14:paraId="5B92C3E4" w14:textId="77777777" w:rsidR="006B6119" w:rsidRPr="006B6119" w:rsidRDefault="006B6119" w:rsidP="006B6119">
      <w:pPr>
        <w:pStyle w:val="ResetPara"/>
        <w:rPr>
          <w:lang w:eastAsia="en-AU"/>
        </w:rPr>
      </w:pPr>
    </w:p>
    <w:p w14:paraId="2871ED6D" w14:textId="685C1D0F" w:rsidR="00921F00" w:rsidRDefault="00804F62" w:rsidP="00964D0D">
      <w:pPr>
        <w:pStyle w:val="BodyText"/>
        <w:rPr>
          <w:lang w:eastAsia="en-AU"/>
        </w:rPr>
      </w:pPr>
      <w:r>
        <w:rPr>
          <w:lang w:eastAsia="en-AU"/>
        </w:rPr>
        <w:t xml:space="preserve">The total </w:t>
      </w:r>
      <w:r w:rsidRPr="00230692">
        <w:rPr>
          <w:i/>
          <w:iCs/>
          <w:lang w:eastAsia="en-AU"/>
        </w:rPr>
        <w:t>a</w:t>
      </w:r>
      <w:r w:rsidR="3E2E623D" w:rsidRPr="00230692">
        <w:rPr>
          <w:i/>
          <w:iCs/>
          <w:lang w:eastAsia="en-AU"/>
        </w:rPr>
        <w:t>mount</w:t>
      </w:r>
      <w:r w:rsidR="3E2E623D" w:rsidRPr="54774606">
        <w:rPr>
          <w:lang w:eastAsia="en-AU"/>
        </w:rPr>
        <w:t xml:space="preserve"> </w:t>
      </w:r>
      <w:r w:rsidR="0035083D">
        <w:rPr>
          <w:lang w:eastAsia="en-AU"/>
        </w:rPr>
        <w:t xml:space="preserve">of </w:t>
      </w:r>
      <w:r>
        <w:rPr>
          <w:lang w:eastAsia="en-AU"/>
        </w:rPr>
        <w:t xml:space="preserve">all </w:t>
      </w:r>
      <w:r w:rsidRPr="00353CD6">
        <w:rPr>
          <w:i/>
          <w:iCs/>
          <w:lang w:eastAsia="en-AU"/>
        </w:rPr>
        <w:t>uplift payment categories</w:t>
      </w:r>
      <w:r w:rsidRPr="003567E4">
        <w:rPr>
          <w:lang w:eastAsia="en-AU"/>
        </w:rPr>
        <w:t xml:space="preserve"> </w:t>
      </w:r>
      <w:r w:rsidR="66362A87" w:rsidRPr="54774606">
        <w:rPr>
          <w:lang w:eastAsia="en-AU"/>
        </w:rPr>
        <w:t xml:space="preserve">determined </w:t>
      </w:r>
      <w:r w:rsidR="3E2E623D" w:rsidRPr="54774606">
        <w:rPr>
          <w:lang w:eastAsia="en-AU"/>
        </w:rPr>
        <w:t xml:space="preserve">in </w:t>
      </w:r>
      <w:r w:rsidR="0A490D18" w:rsidRPr="54774606">
        <w:rPr>
          <w:lang w:eastAsia="en-AU"/>
        </w:rPr>
        <w:t>respect of</w:t>
      </w:r>
      <w:r w:rsidR="0035083D">
        <w:rPr>
          <w:lang w:eastAsia="en-AU"/>
        </w:rPr>
        <w:t xml:space="preserve"> a </w:t>
      </w:r>
      <w:r w:rsidR="0035083D" w:rsidRPr="00353CD6">
        <w:rPr>
          <w:i/>
          <w:iCs/>
          <w:lang w:eastAsia="en-AU"/>
        </w:rPr>
        <w:t>gas day</w:t>
      </w:r>
      <w:r w:rsidR="0035083D">
        <w:rPr>
          <w:lang w:eastAsia="en-AU"/>
        </w:rPr>
        <w:t xml:space="preserve"> </w:t>
      </w:r>
      <w:r w:rsidR="0072119E">
        <w:rPr>
          <w:lang w:eastAsia="en-AU"/>
        </w:rPr>
        <w:t xml:space="preserve">and </w:t>
      </w:r>
      <w:r w:rsidR="0072119E" w:rsidRPr="00353CD6">
        <w:rPr>
          <w:i/>
          <w:iCs/>
          <w:lang w:eastAsia="en-AU"/>
        </w:rPr>
        <w:t>operating schedule</w:t>
      </w:r>
      <w:r w:rsidR="0072119E">
        <w:rPr>
          <w:lang w:eastAsia="en-AU"/>
        </w:rPr>
        <w:t xml:space="preserve"> </w:t>
      </w:r>
      <w:r w:rsidR="0035083D">
        <w:rPr>
          <w:lang w:eastAsia="en-AU"/>
        </w:rPr>
        <w:t xml:space="preserve">must </w:t>
      </w:r>
      <w:r w:rsidR="003567E4">
        <w:rPr>
          <w:lang w:eastAsia="en-AU"/>
        </w:rPr>
        <w:t>recover</w:t>
      </w:r>
      <w:r w:rsidR="0035083D">
        <w:rPr>
          <w:lang w:eastAsia="en-AU"/>
        </w:rPr>
        <w:t xml:space="preserve"> the total </w:t>
      </w:r>
      <w:r w:rsidR="00230692" w:rsidRPr="0063777B">
        <w:rPr>
          <w:i/>
          <w:iCs/>
          <w:lang w:eastAsia="en-AU"/>
        </w:rPr>
        <w:t>amount</w:t>
      </w:r>
      <w:r w:rsidR="00230692">
        <w:rPr>
          <w:lang w:eastAsia="en-AU"/>
        </w:rPr>
        <w:t xml:space="preserve"> </w:t>
      </w:r>
      <w:r w:rsidR="003567E4">
        <w:rPr>
          <w:lang w:eastAsia="en-AU"/>
        </w:rPr>
        <w:t xml:space="preserve">of all </w:t>
      </w:r>
      <w:r w:rsidR="003567E4" w:rsidRPr="003567E4">
        <w:rPr>
          <w:lang w:eastAsia="en-AU"/>
        </w:rPr>
        <w:t>a</w:t>
      </w:r>
      <w:r w:rsidR="003567E4" w:rsidRPr="00353CD6">
        <w:rPr>
          <w:i/>
          <w:iCs/>
          <w:lang w:eastAsia="en-AU"/>
        </w:rPr>
        <w:t>ncillary payments</w:t>
      </w:r>
      <w:r w:rsidR="00007FBC">
        <w:rPr>
          <w:lang w:eastAsia="en-AU"/>
        </w:rPr>
        <w:t xml:space="preserve"> </w:t>
      </w:r>
      <w:r w:rsidR="181897AD" w:rsidRPr="54774606">
        <w:rPr>
          <w:lang w:eastAsia="en-AU"/>
        </w:rPr>
        <w:t xml:space="preserve">determined </w:t>
      </w:r>
      <w:r w:rsidR="63EEBD94" w:rsidRPr="54774606">
        <w:rPr>
          <w:lang w:eastAsia="en-AU"/>
        </w:rPr>
        <w:t>in respect of</w:t>
      </w:r>
      <w:r w:rsidR="33A11978" w:rsidRPr="54774606">
        <w:rPr>
          <w:lang w:eastAsia="en-AU"/>
        </w:rPr>
        <w:t xml:space="preserve"> </w:t>
      </w:r>
      <w:r w:rsidR="00286D64">
        <w:rPr>
          <w:lang w:eastAsia="en-AU"/>
        </w:rPr>
        <w:t xml:space="preserve">that </w:t>
      </w:r>
      <w:r w:rsidR="00286D64" w:rsidRPr="00353CD6">
        <w:rPr>
          <w:i/>
          <w:iCs/>
          <w:lang w:eastAsia="en-AU"/>
        </w:rPr>
        <w:t>gas day</w:t>
      </w:r>
      <w:r w:rsidR="00286D64">
        <w:rPr>
          <w:lang w:eastAsia="en-AU"/>
        </w:rPr>
        <w:t xml:space="preserve"> and </w:t>
      </w:r>
      <w:r w:rsidR="00286D64" w:rsidRPr="00353CD6">
        <w:rPr>
          <w:i/>
          <w:iCs/>
          <w:lang w:eastAsia="en-AU"/>
        </w:rPr>
        <w:t>operating schedule</w:t>
      </w:r>
      <w:r w:rsidR="003567E4">
        <w:rPr>
          <w:lang w:eastAsia="en-AU"/>
        </w:rPr>
        <w:t>.</w:t>
      </w:r>
    </w:p>
    <w:p w14:paraId="6C93925F" w14:textId="6AEAC788" w:rsidR="00673C4D" w:rsidRDefault="00673C4D" w:rsidP="00126592">
      <w:pPr>
        <w:pStyle w:val="Heading2"/>
        <w:rPr>
          <w:lang w:eastAsia="en-AU"/>
        </w:rPr>
      </w:pPr>
      <w:bookmarkStart w:id="19" w:name="_Toc62480192"/>
      <w:bookmarkStart w:id="20" w:name="_Toc445212701"/>
      <w:bookmarkStart w:id="21" w:name="_Toc445384268"/>
      <w:r>
        <w:rPr>
          <w:lang w:eastAsia="en-AU"/>
        </w:rPr>
        <w:t>Total uplift payment amount</w:t>
      </w:r>
      <w:r w:rsidR="00A12227">
        <w:rPr>
          <w:lang w:eastAsia="en-AU"/>
        </w:rPr>
        <w:t xml:space="preserve"> and </w:t>
      </w:r>
      <w:r w:rsidR="003D6F75">
        <w:rPr>
          <w:lang w:eastAsia="en-AU"/>
        </w:rPr>
        <w:t>uplift payment quantity</w:t>
      </w:r>
      <w:bookmarkEnd w:id="19"/>
    </w:p>
    <w:p w14:paraId="0AAA3F04" w14:textId="79821620" w:rsidR="00673C4D" w:rsidRDefault="00673C4D" w:rsidP="00673C4D">
      <w:pPr>
        <w:pStyle w:val="ResetPara"/>
        <w:rPr>
          <w:lang w:eastAsia="en-AU"/>
        </w:rPr>
      </w:pPr>
    </w:p>
    <w:p w14:paraId="0E97B7EC" w14:textId="680F629C" w:rsidR="00673C4D" w:rsidRPr="001D41B0" w:rsidRDefault="00673C4D" w:rsidP="00673C4D">
      <w:pPr>
        <w:pStyle w:val="BodyText"/>
        <w:rPr>
          <w:i/>
          <w:iCs/>
          <w:lang w:eastAsia="en-AU"/>
        </w:rPr>
      </w:pPr>
      <w:r>
        <w:rPr>
          <w:lang w:eastAsia="en-AU"/>
        </w:rPr>
        <w:t xml:space="preserve">The </w:t>
      </w:r>
      <w:r w:rsidRPr="003D6F75">
        <w:rPr>
          <w:i/>
          <w:iCs/>
          <w:lang w:eastAsia="en-AU"/>
        </w:rPr>
        <w:t>total</w:t>
      </w:r>
      <w:r>
        <w:rPr>
          <w:lang w:eastAsia="en-AU"/>
        </w:rPr>
        <w:t xml:space="preserve"> </w:t>
      </w:r>
      <w:r w:rsidRPr="00356068">
        <w:rPr>
          <w:i/>
          <w:iCs/>
          <w:lang w:eastAsia="en-AU"/>
        </w:rPr>
        <w:t>uplift payment amount</w:t>
      </w:r>
      <w:r>
        <w:rPr>
          <w:lang w:eastAsia="en-AU"/>
        </w:rPr>
        <w:t xml:space="preserve"> </w:t>
      </w:r>
      <w:r w:rsidR="009F3EC0">
        <w:rPr>
          <w:lang w:eastAsia="en-AU"/>
        </w:rPr>
        <w:t xml:space="preserve">and </w:t>
      </w:r>
      <w:r w:rsidR="006E21C3" w:rsidRPr="003D6F75">
        <w:rPr>
          <w:i/>
          <w:iCs/>
          <w:lang w:eastAsia="en-AU"/>
        </w:rPr>
        <w:t>total</w:t>
      </w:r>
      <w:r w:rsidR="006E21C3">
        <w:rPr>
          <w:lang w:eastAsia="en-AU"/>
        </w:rPr>
        <w:t xml:space="preserve"> </w:t>
      </w:r>
      <w:r w:rsidR="006E21C3" w:rsidRPr="006E21C3">
        <w:rPr>
          <w:i/>
          <w:iCs/>
          <w:lang w:eastAsia="en-AU"/>
        </w:rPr>
        <w:t>uplift payment quantity</w:t>
      </w:r>
      <w:r w:rsidR="006E21C3">
        <w:rPr>
          <w:lang w:eastAsia="en-AU"/>
        </w:rPr>
        <w:t xml:space="preserve"> </w:t>
      </w:r>
      <w:r>
        <w:rPr>
          <w:lang w:eastAsia="en-AU"/>
        </w:rPr>
        <w:t>to be re</w:t>
      </w:r>
      <w:r w:rsidR="006622E1">
        <w:rPr>
          <w:lang w:eastAsia="en-AU"/>
        </w:rPr>
        <w:t>covered</w:t>
      </w:r>
      <w:r w:rsidR="007D764C">
        <w:rPr>
          <w:lang w:eastAsia="en-AU"/>
        </w:rPr>
        <w:t xml:space="preserve"> by all </w:t>
      </w:r>
      <w:r w:rsidR="007D764C" w:rsidRPr="00AB51F4">
        <w:rPr>
          <w:i/>
          <w:iCs/>
        </w:rPr>
        <w:t>uplift payment categories</w:t>
      </w:r>
      <w:r w:rsidR="006622E1">
        <w:rPr>
          <w:lang w:eastAsia="en-AU"/>
        </w:rPr>
        <w:t xml:space="preserve"> </w:t>
      </w:r>
      <w:r w:rsidR="00356068">
        <w:rPr>
          <w:lang w:eastAsia="en-AU"/>
        </w:rPr>
        <w:t xml:space="preserve">for each </w:t>
      </w:r>
      <w:r w:rsidR="00356068">
        <w:rPr>
          <w:i/>
          <w:iCs/>
          <w:lang w:eastAsia="en-AU"/>
        </w:rPr>
        <w:t>operating schedule</w:t>
      </w:r>
      <w:r w:rsidR="00356068">
        <w:rPr>
          <w:lang w:eastAsia="en-AU"/>
        </w:rPr>
        <w:t xml:space="preserve"> for e</w:t>
      </w:r>
      <w:r w:rsidR="00A5406C">
        <w:rPr>
          <w:lang w:eastAsia="en-AU"/>
        </w:rPr>
        <w:t>a</w:t>
      </w:r>
      <w:r w:rsidR="00356068">
        <w:rPr>
          <w:lang w:eastAsia="en-AU"/>
        </w:rPr>
        <w:t xml:space="preserve">ch </w:t>
      </w:r>
      <w:r w:rsidR="00356068">
        <w:rPr>
          <w:i/>
          <w:iCs/>
          <w:lang w:eastAsia="en-AU"/>
        </w:rPr>
        <w:t>gas day</w:t>
      </w:r>
      <w:r w:rsidR="00356068">
        <w:rPr>
          <w:lang w:eastAsia="en-AU"/>
        </w:rPr>
        <w:t xml:space="preserve"> </w:t>
      </w:r>
      <w:r w:rsidR="006622E1">
        <w:rPr>
          <w:lang w:eastAsia="en-AU"/>
        </w:rPr>
        <w:t xml:space="preserve">is </w:t>
      </w:r>
      <w:r w:rsidR="00D7788E">
        <w:rPr>
          <w:lang w:eastAsia="en-AU"/>
        </w:rPr>
        <w:t xml:space="preserve">determined by AEMO </w:t>
      </w:r>
      <w:r w:rsidR="001D41B0">
        <w:rPr>
          <w:lang w:eastAsia="en-AU"/>
        </w:rPr>
        <w:t xml:space="preserve">in accordance with </w:t>
      </w:r>
      <w:r w:rsidR="003220F1">
        <w:rPr>
          <w:lang w:eastAsia="en-AU"/>
        </w:rPr>
        <w:t xml:space="preserve">section </w:t>
      </w:r>
      <w:r w:rsidR="00512873">
        <w:rPr>
          <w:color w:val="2B579A"/>
          <w:shd w:val="clear" w:color="auto" w:fill="E6E6E6"/>
          <w:lang w:eastAsia="en-AU"/>
        </w:rPr>
        <w:fldChar w:fldCharType="begin"/>
      </w:r>
      <w:r w:rsidR="00512873">
        <w:rPr>
          <w:lang w:eastAsia="en-AU"/>
        </w:rPr>
        <w:instrText xml:space="preserve"> REF _Ref57969602 \n \h </w:instrText>
      </w:r>
      <w:r w:rsidR="00512873">
        <w:rPr>
          <w:color w:val="2B579A"/>
          <w:shd w:val="clear" w:color="auto" w:fill="E6E6E6"/>
          <w:lang w:eastAsia="en-AU"/>
        </w:rPr>
      </w:r>
      <w:r w:rsidR="00512873">
        <w:rPr>
          <w:color w:val="2B579A"/>
          <w:shd w:val="clear" w:color="auto" w:fill="E6E6E6"/>
          <w:lang w:eastAsia="en-AU"/>
        </w:rPr>
        <w:fldChar w:fldCharType="separate"/>
      </w:r>
      <w:r w:rsidR="00BA68AF">
        <w:rPr>
          <w:lang w:eastAsia="en-AU"/>
        </w:rPr>
        <w:t>3</w:t>
      </w:r>
      <w:r w:rsidR="00512873">
        <w:rPr>
          <w:color w:val="2B579A"/>
          <w:shd w:val="clear" w:color="auto" w:fill="E6E6E6"/>
          <w:lang w:eastAsia="en-AU"/>
        </w:rPr>
        <w:fldChar w:fldCharType="end"/>
      </w:r>
      <w:r w:rsidR="001D41B0">
        <w:rPr>
          <w:i/>
          <w:iCs/>
          <w:lang w:eastAsia="en-AU"/>
        </w:rPr>
        <w:t>.</w:t>
      </w:r>
    </w:p>
    <w:p w14:paraId="3AD62311" w14:textId="1370E1D0" w:rsidR="001469B0" w:rsidRDefault="001469B0" w:rsidP="00126592">
      <w:pPr>
        <w:pStyle w:val="Heading2"/>
        <w:rPr>
          <w:lang w:eastAsia="en-AU"/>
        </w:rPr>
      </w:pPr>
      <w:bookmarkStart w:id="22" w:name="_Toc62480193"/>
      <w:r>
        <w:rPr>
          <w:lang w:eastAsia="en-AU"/>
        </w:rPr>
        <w:t>Uplift Payment Categories</w:t>
      </w:r>
      <w:bookmarkEnd w:id="22"/>
    </w:p>
    <w:p w14:paraId="3BB688AF" w14:textId="45ABBB54" w:rsidR="001469B0" w:rsidRDefault="001469B0" w:rsidP="001469B0">
      <w:pPr>
        <w:pStyle w:val="ResetPara"/>
        <w:rPr>
          <w:lang w:eastAsia="en-AU"/>
        </w:rPr>
      </w:pPr>
    </w:p>
    <w:p w14:paraId="683E5F5A" w14:textId="468B2C38" w:rsidR="001469B0" w:rsidRDefault="00E83BE7" w:rsidP="00AB51F4">
      <w:pPr>
        <w:pStyle w:val="BodyText"/>
      </w:pPr>
      <w:r>
        <w:rPr>
          <w:lang w:eastAsia="en-AU"/>
        </w:rPr>
        <w:t xml:space="preserve">The </w:t>
      </w:r>
      <w:r w:rsidR="00804F62" w:rsidRPr="00AB51F4">
        <w:rPr>
          <w:i/>
          <w:iCs/>
        </w:rPr>
        <w:t xml:space="preserve">uplift payment </w:t>
      </w:r>
      <w:r w:rsidR="00282E21" w:rsidRPr="00AB51F4">
        <w:rPr>
          <w:i/>
          <w:iCs/>
        </w:rPr>
        <w:t>categories</w:t>
      </w:r>
      <w:r w:rsidR="00AB51F4">
        <w:t xml:space="preserve"> to be determined under these Procedures are as follows:</w:t>
      </w:r>
    </w:p>
    <w:p w14:paraId="2963072C" w14:textId="3C3E43F5" w:rsidR="002A6F5B" w:rsidRPr="00513C98" w:rsidRDefault="002A6F5B" w:rsidP="00513C98">
      <w:pPr>
        <w:pStyle w:val="Lista"/>
        <w:rPr>
          <w:i/>
          <w:iCs/>
        </w:rPr>
      </w:pPr>
      <w:r w:rsidRPr="00513C98">
        <w:rPr>
          <w:i/>
          <w:iCs/>
        </w:rPr>
        <w:t>D</w:t>
      </w:r>
      <w:r w:rsidR="00852A4F" w:rsidRPr="00513C98">
        <w:rPr>
          <w:i/>
          <w:iCs/>
        </w:rPr>
        <w:t xml:space="preserve">TS SP </w:t>
      </w:r>
      <w:r w:rsidR="00EC509B" w:rsidRPr="00513C98">
        <w:rPr>
          <w:i/>
          <w:iCs/>
        </w:rPr>
        <w:t>uplift</w:t>
      </w:r>
    </w:p>
    <w:p w14:paraId="5C27ADAE" w14:textId="2D13C91B" w:rsidR="00852A4F" w:rsidRPr="00513C98" w:rsidRDefault="00F963C2" w:rsidP="00513C98">
      <w:pPr>
        <w:pStyle w:val="Lista"/>
        <w:rPr>
          <w:i/>
          <w:iCs/>
        </w:rPr>
      </w:pPr>
      <w:r w:rsidRPr="00513C98">
        <w:rPr>
          <w:i/>
          <w:iCs/>
        </w:rPr>
        <w:t xml:space="preserve">DTS SP </w:t>
      </w:r>
      <w:r w:rsidR="00EC509B" w:rsidRPr="00513C98">
        <w:rPr>
          <w:i/>
          <w:iCs/>
        </w:rPr>
        <w:t>event liability cap exceedance uplift</w:t>
      </w:r>
    </w:p>
    <w:p w14:paraId="789E32A6" w14:textId="70EB0DFB" w:rsidR="00AD0736" w:rsidRPr="00513C98" w:rsidRDefault="00AD0736" w:rsidP="00513C98">
      <w:pPr>
        <w:pStyle w:val="Lista"/>
        <w:rPr>
          <w:i/>
          <w:iCs/>
        </w:rPr>
      </w:pPr>
      <w:r w:rsidRPr="00513C98">
        <w:rPr>
          <w:i/>
          <w:iCs/>
        </w:rPr>
        <w:t xml:space="preserve">DTS SP </w:t>
      </w:r>
      <w:r w:rsidR="00EC509B" w:rsidRPr="00513C98">
        <w:rPr>
          <w:i/>
          <w:iCs/>
        </w:rPr>
        <w:t>annual liability cap exceedance</w:t>
      </w:r>
      <w:r w:rsidRPr="00513C98">
        <w:rPr>
          <w:i/>
          <w:iCs/>
        </w:rPr>
        <w:t xml:space="preserve"> </w:t>
      </w:r>
    </w:p>
    <w:p w14:paraId="68DCBC28" w14:textId="09BB6647" w:rsidR="00F963C2" w:rsidRPr="00513C98" w:rsidRDefault="00F963C2" w:rsidP="00513C98">
      <w:pPr>
        <w:pStyle w:val="Lista"/>
        <w:rPr>
          <w:i/>
          <w:iCs/>
        </w:rPr>
      </w:pPr>
      <w:r w:rsidRPr="00513C98">
        <w:rPr>
          <w:i/>
          <w:iCs/>
        </w:rPr>
        <w:t xml:space="preserve">Surprise </w:t>
      </w:r>
      <w:r w:rsidR="00804F62" w:rsidRPr="00513C98">
        <w:rPr>
          <w:i/>
          <w:iCs/>
        </w:rPr>
        <w:t>uplift</w:t>
      </w:r>
    </w:p>
    <w:p w14:paraId="6DF09699" w14:textId="778F684D" w:rsidR="00F963C2" w:rsidRPr="00513C98" w:rsidRDefault="00F963C2" w:rsidP="00513C98">
      <w:pPr>
        <w:pStyle w:val="Lista"/>
        <w:rPr>
          <w:i/>
          <w:iCs/>
        </w:rPr>
      </w:pPr>
      <w:r w:rsidRPr="00513C98">
        <w:rPr>
          <w:i/>
          <w:iCs/>
        </w:rPr>
        <w:t xml:space="preserve">Common </w:t>
      </w:r>
      <w:r w:rsidR="00804F62" w:rsidRPr="00513C98">
        <w:rPr>
          <w:i/>
          <w:iCs/>
        </w:rPr>
        <w:t>u</w:t>
      </w:r>
      <w:r w:rsidRPr="00513C98">
        <w:rPr>
          <w:i/>
          <w:iCs/>
        </w:rPr>
        <w:t>plift</w:t>
      </w:r>
    </w:p>
    <w:p w14:paraId="5E89214D" w14:textId="650C012A" w:rsidR="00E36AEA" w:rsidRPr="0065409F" w:rsidRDefault="00E36AEA" w:rsidP="0065409F">
      <w:pPr>
        <w:pStyle w:val="BodyText"/>
      </w:pPr>
      <w:r w:rsidRPr="0065409F">
        <w:t>Each is described in more detail below.</w:t>
      </w:r>
    </w:p>
    <w:p w14:paraId="6A71D4D4" w14:textId="3E163276" w:rsidR="008F2864" w:rsidRDefault="0019250F" w:rsidP="00AE1659">
      <w:pPr>
        <w:pStyle w:val="Heading3"/>
        <w:rPr>
          <w:lang w:eastAsia="en-AU"/>
        </w:rPr>
      </w:pPr>
      <w:r>
        <w:rPr>
          <w:lang w:eastAsia="en-AU"/>
        </w:rPr>
        <w:t xml:space="preserve"> </w:t>
      </w:r>
      <w:bookmarkEnd w:id="20"/>
      <w:bookmarkEnd w:id="21"/>
      <w:r w:rsidR="00AE1659">
        <w:rPr>
          <w:lang w:eastAsia="en-AU"/>
        </w:rPr>
        <w:t xml:space="preserve">DTS SP </w:t>
      </w:r>
      <w:r w:rsidR="003278C9">
        <w:rPr>
          <w:lang w:eastAsia="en-AU"/>
        </w:rPr>
        <w:t>uplift</w:t>
      </w:r>
      <w:r w:rsidR="004F2B63">
        <w:rPr>
          <w:rStyle w:val="FootnoteReference"/>
          <w:lang w:eastAsia="en-AU"/>
        </w:rPr>
        <w:footnoteReference w:id="2"/>
      </w:r>
    </w:p>
    <w:p w14:paraId="21690172" w14:textId="0554E6D1" w:rsidR="00E52CC9" w:rsidRDefault="00E52CC9" w:rsidP="00E52CC9">
      <w:pPr>
        <w:pStyle w:val="ResetPara"/>
        <w:rPr>
          <w:lang w:eastAsia="en-AU"/>
        </w:rPr>
      </w:pPr>
    </w:p>
    <w:p w14:paraId="0FF435BF" w14:textId="5BA1E876" w:rsidR="00AE1659" w:rsidRDefault="00B15E9F" w:rsidP="00AE1659">
      <w:pPr>
        <w:pStyle w:val="BodyText"/>
        <w:rPr>
          <w:lang w:eastAsia="en-AU"/>
        </w:rPr>
      </w:pPr>
      <w:r w:rsidRPr="008669A0">
        <w:rPr>
          <w:lang w:eastAsia="en-AU"/>
        </w:rPr>
        <w:t>Where a</w:t>
      </w:r>
      <w:r w:rsidRPr="00B15E9F">
        <w:rPr>
          <w:i/>
          <w:iCs/>
          <w:lang w:eastAsia="en-AU"/>
        </w:rPr>
        <w:t>ncillary payments</w:t>
      </w:r>
      <w:r w:rsidRPr="008669A0">
        <w:rPr>
          <w:lang w:eastAsia="en-AU"/>
        </w:rPr>
        <w:t xml:space="preserve"> are payable in respect of a </w:t>
      </w:r>
      <w:r w:rsidRPr="00B15E9F">
        <w:rPr>
          <w:i/>
          <w:iCs/>
          <w:lang w:eastAsia="en-AU"/>
        </w:rPr>
        <w:t>gas day</w:t>
      </w:r>
      <w:r w:rsidR="00CD6183" w:rsidRPr="00CD6183">
        <w:rPr>
          <w:lang w:eastAsia="en-AU"/>
        </w:rPr>
        <w:t xml:space="preserve"> </w:t>
      </w:r>
      <w:r w:rsidR="00CD6183" w:rsidRPr="007D2C9D">
        <w:rPr>
          <w:lang w:eastAsia="en-AU"/>
        </w:rPr>
        <w:t>and</w:t>
      </w:r>
      <w:r w:rsidR="00CD6183">
        <w:rPr>
          <w:i/>
          <w:iCs/>
          <w:lang w:eastAsia="en-AU"/>
        </w:rPr>
        <w:t xml:space="preserve"> operating schedule</w:t>
      </w:r>
      <w:r w:rsidR="00CD6183" w:rsidRPr="008669A0">
        <w:rPr>
          <w:lang w:eastAsia="en-AU"/>
        </w:rPr>
        <w:t>,</w:t>
      </w:r>
      <w:r w:rsidRPr="00953066">
        <w:rPr>
          <w:i/>
          <w:iCs/>
          <w:lang w:eastAsia="en-AU"/>
        </w:rPr>
        <w:t xml:space="preserve"> </w:t>
      </w:r>
      <w:r w:rsidR="00AE1659" w:rsidRPr="00953066">
        <w:rPr>
          <w:i/>
          <w:iCs/>
          <w:lang w:eastAsia="en-AU"/>
        </w:rPr>
        <w:t xml:space="preserve">DTS SP </w:t>
      </w:r>
      <w:r w:rsidR="00C72FC8" w:rsidRPr="00953066">
        <w:rPr>
          <w:i/>
          <w:iCs/>
          <w:lang w:eastAsia="en-AU"/>
        </w:rPr>
        <w:t>uplift</w:t>
      </w:r>
      <w:r w:rsidR="00C72FC8">
        <w:rPr>
          <w:lang w:eastAsia="en-AU"/>
        </w:rPr>
        <w:t xml:space="preserve"> </w:t>
      </w:r>
      <w:r w:rsidR="00AE1659">
        <w:rPr>
          <w:lang w:eastAsia="en-AU"/>
        </w:rPr>
        <w:t xml:space="preserve">is </w:t>
      </w:r>
      <w:r w:rsidR="00AF5CAC">
        <w:rPr>
          <w:lang w:eastAsia="en-AU"/>
        </w:rPr>
        <w:t>allocated</w:t>
      </w:r>
      <w:r w:rsidR="00AE1659">
        <w:rPr>
          <w:lang w:eastAsia="en-AU"/>
        </w:rPr>
        <w:t xml:space="preserve"> to the </w:t>
      </w:r>
      <w:r w:rsidR="00AE1659" w:rsidRPr="000260AE">
        <w:rPr>
          <w:i/>
          <w:iCs/>
          <w:lang w:eastAsia="en-AU"/>
        </w:rPr>
        <w:t>DTS SP</w:t>
      </w:r>
      <w:r w:rsidR="00AE1659">
        <w:rPr>
          <w:lang w:eastAsia="en-AU"/>
        </w:rPr>
        <w:t xml:space="preserve"> </w:t>
      </w:r>
      <w:r w:rsidR="00514067">
        <w:rPr>
          <w:lang w:eastAsia="en-AU"/>
        </w:rPr>
        <w:t xml:space="preserve">where the </w:t>
      </w:r>
      <w:r w:rsidR="00514067" w:rsidRPr="000260AE">
        <w:rPr>
          <w:i/>
          <w:iCs/>
          <w:lang w:eastAsia="en-AU"/>
        </w:rPr>
        <w:t xml:space="preserve">DTS </w:t>
      </w:r>
      <w:r w:rsidR="00AF5CAC" w:rsidRPr="000260AE">
        <w:rPr>
          <w:i/>
          <w:iCs/>
          <w:lang w:eastAsia="en-AU"/>
        </w:rPr>
        <w:t>SP</w:t>
      </w:r>
      <w:r w:rsidR="00AF5CAC">
        <w:rPr>
          <w:lang w:eastAsia="en-AU"/>
        </w:rPr>
        <w:t xml:space="preserve"> has failed to </w:t>
      </w:r>
      <w:r w:rsidR="005C0E34" w:rsidRPr="005C0E34">
        <w:rPr>
          <w:lang w:eastAsia="en-AU"/>
        </w:rPr>
        <w:t xml:space="preserve">fulfil its obligations under </w:t>
      </w:r>
      <w:r w:rsidR="00E11342">
        <w:rPr>
          <w:lang w:eastAsia="en-AU"/>
        </w:rPr>
        <w:t>the</w:t>
      </w:r>
      <w:r w:rsidR="005C0E34" w:rsidRPr="005C0E34">
        <w:rPr>
          <w:lang w:eastAsia="en-AU"/>
        </w:rPr>
        <w:t xml:space="preserve"> </w:t>
      </w:r>
      <w:r w:rsidR="005C0E34" w:rsidRPr="00E11342">
        <w:rPr>
          <w:i/>
          <w:iCs/>
          <w:lang w:eastAsia="en-AU"/>
        </w:rPr>
        <w:t xml:space="preserve">service envelope agreement </w:t>
      </w:r>
      <w:r w:rsidR="00564D1B">
        <w:rPr>
          <w:lang w:eastAsia="en-AU"/>
        </w:rPr>
        <w:t xml:space="preserve">and </w:t>
      </w:r>
      <w:r w:rsidR="001839E3">
        <w:rPr>
          <w:lang w:eastAsia="en-AU"/>
        </w:rPr>
        <w:t xml:space="preserve">some or all of the </w:t>
      </w:r>
      <w:r w:rsidR="001839E3" w:rsidRPr="00E11342">
        <w:rPr>
          <w:i/>
          <w:iCs/>
          <w:lang w:eastAsia="en-AU"/>
        </w:rPr>
        <w:t>ancillary payments</w:t>
      </w:r>
      <w:r w:rsidR="001839E3">
        <w:rPr>
          <w:lang w:eastAsia="en-AU"/>
        </w:rPr>
        <w:t xml:space="preserve"> </w:t>
      </w:r>
      <w:r w:rsidR="00E11342">
        <w:rPr>
          <w:lang w:eastAsia="en-AU"/>
        </w:rPr>
        <w:t xml:space="preserve">are attributable to </w:t>
      </w:r>
      <w:r w:rsidR="001839E3">
        <w:rPr>
          <w:lang w:eastAsia="en-AU"/>
        </w:rPr>
        <w:t>the failure.</w:t>
      </w:r>
    </w:p>
    <w:p w14:paraId="5C10E7F6" w14:textId="194F7EDF" w:rsidR="00BB55EA" w:rsidRDefault="00BB55EA" w:rsidP="00AE1659">
      <w:pPr>
        <w:pStyle w:val="BodyText"/>
        <w:rPr>
          <w:lang w:eastAsia="en-AU"/>
        </w:rPr>
      </w:pPr>
      <w:r w:rsidRPr="00E10AAB">
        <w:rPr>
          <w:i/>
          <w:iCs/>
          <w:lang w:eastAsia="en-AU"/>
        </w:rPr>
        <w:t xml:space="preserve">DTS SP </w:t>
      </w:r>
      <w:r w:rsidR="00C72FC8" w:rsidRPr="00E10AAB">
        <w:rPr>
          <w:i/>
          <w:iCs/>
          <w:lang w:eastAsia="en-AU"/>
        </w:rPr>
        <w:t>uplift</w:t>
      </w:r>
      <w:r w:rsidR="00C72FC8">
        <w:rPr>
          <w:lang w:eastAsia="en-AU"/>
        </w:rPr>
        <w:t xml:space="preserve"> </w:t>
      </w:r>
      <w:r>
        <w:rPr>
          <w:lang w:eastAsia="en-AU"/>
        </w:rPr>
        <w:t xml:space="preserve">is always a payment by the </w:t>
      </w:r>
      <w:r w:rsidRPr="00E10AAB">
        <w:rPr>
          <w:i/>
          <w:iCs/>
          <w:lang w:eastAsia="en-AU"/>
        </w:rPr>
        <w:t>DTS SP</w:t>
      </w:r>
      <w:r w:rsidR="00925BF9">
        <w:rPr>
          <w:lang w:eastAsia="en-AU"/>
        </w:rPr>
        <w:t>.</w:t>
      </w:r>
    </w:p>
    <w:p w14:paraId="4D6AB629" w14:textId="21694648" w:rsidR="0016527C" w:rsidRDefault="0016527C" w:rsidP="0016527C">
      <w:pPr>
        <w:pStyle w:val="Heading3"/>
        <w:rPr>
          <w:lang w:eastAsia="en-AU"/>
        </w:rPr>
      </w:pPr>
      <w:r>
        <w:rPr>
          <w:lang w:eastAsia="en-AU"/>
        </w:rPr>
        <w:lastRenderedPageBreak/>
        <w:t xml:space="preserve">DTS SP </w:t>
      </w:r>
      <w:r w:rsidR="003278C9">
        <w:rPr>
          <w:lang w:eastAsia="en-AU"/>
        </w:rPr>
        <w:t xml:space="preserve">event </w:t>
      </w:r>
      <w:r>
        <w:rPr>
          <w:lang w:eastAsia="en-AU"/>
        </w:rPr>
        <w:t>liability cap exceedance uplift</w:t>
      </w:r>
      <w:r w:rsidR="00A30525">
        <w:rPr>
          <w:lang w:eastAsia="en-AU"/>
        </w:rPr>
        <w:t xml:space="preserve"> </w:t>
      </w:r>
      <w:r w:rsidR="00A30525">
        <w:rPr>
          <w:rStyle w:val="FootnoteReference"/>
          <w:lang w:eastAsia="en-AU"/>
        </w:rPr>
        <w:footnoteReference w:id="3"/>
      </w:r>
    </w:p>
    <w:p w14:paraId="72BC78C1" w14:textId="44BA8F94" w:rsidR="00BB55EA" w:rsidRDefault="00BB55EA" w:rsidP="00BB55EA">
      <w:pPr>
        <w:pStyle w:val="ResetPara"/>
        <w:rPr>
          <w:lang w:eastAsia="en-AU"/>
        </w:rPr>
      </w:pPr>
    </w:p>
    <w:p w14:paraId="4422E879" w14:textId="2C3D48C0" w:rsidR="00BB55EA" w:rsidRDefault="001327B9" w:rsidP="00BB55EA">
      <w:pPr>
        <w:pStyle w:val="BodyText"/>
        <w:rPr>
          <w:lang w:eastAsia="en-AU"/>
        </w:rPr>
      </w:pPr>
      <w:r w:rsidRPr="00A62B85">
        <w:rPr>
          <w:lang w:eastAsia="en-AU"/>
        </w:rPr>
        <w:t>Where</w:t>
      </w:r>
      <w:r>
        <w:rPr>
          <w:i/>
          <w:iCs/>
          <w:lang w:eastAsia="en-AU"/>
        </w:rPr>
        <w:t xml:space="preserve"> DTS SP uplift </w:t>
      </w:r>
      <w:r w:rsidRPr="00A62B85">
        <w:rPr>
          <w:lang w:eastAsia="en-AU"/>
        </w:rPr>
        <w:t xml:space="preserve">is payable </w:t>
      </w:r>
      <w:r w:rsidR="00A62B85" w:rsidRPr="00A62B85">
        <w:rPr>
          <w:lang w:eastAsia="en-AU"/>
        </w:rPr>
        <w:t xml:space="preserve">in respect of a </w:t>
      </w:r>
      <w:r w:rsidR="00A62B85">
        <w:rPr>
          <w:i/>
          <w:iCs/>
          <w:lang w:eastAsia="en-AU"/>
        </w:rPr>
        <w:t>gas day</w:t>
      </w:r>
      <w:r w:rsidR="00DA13C2" w:rsidRPr="00DA13C2">
        <w:rPr>
          <w:lang w:eastAsia="en-AU"/>
        </w:rPr>
        <w:t xml:space="preserve"> </w:t>
      </w:r>
      <w:r w:rsidR="00DA13C2" w:rsidRPr="007D2C9D">
        <w:rPr>
          <w:lang w:eastAsia="en-AU"/>
        </w:rPr>
        <w:t>and</w:t>
      </w:r>
      <w:r w:rsidR="00DA13C2">
        <w:rPr>
          <w:i/>
          <w:iCs/>
          <w:lang w:eastAsia="en-AU"/>
        </w:rPr>
        <w:t xml:space="preserve"> operating schedule</w:t>
      </w:r>
      <w:r w:rsidR="00DA13C2" w:rsidRPr="008669A0">
        <w:rPr>
          <w:lang w:eastAsia="en-AU"/>
        </w:rPr>
        <w:t>,</w:t>
      </w:r>
      <w:r w:rsidR="00A62B85">
        <w:rPr>
          <w:i/>
          <w:iCs/>
          <w:lang w:eastAsia="en-AU"/>
        </w:rPr>
        <w:t xml:space="preserve"> </w:t>
      </w:r>
      <w:r w:rsidR="00925BF9" w:rsidRPr="00953066">
        <w:rPr>
          <w:i/>
          <w:iCs/>
          <w:lang w:eastAsia="en-AU"/>
        </w:rPr>
        <w:t xml:space="preserve">DTS SP </w:t>
      </w:r>
      <w:r w:rsidR="00DC09B3" w:rsidRPr="00953066">
        <w:rPr>
          <w:i/>
          <w:iCs/>
          <w:lang w:eastAsia="en-AU"/>
        </w:rPr>
        <w:t xml:space="preserve">event </w:t>
      </w:r>
      <w:r w:rsidR="00925BF9" w:rsidRPr="00953066">
        <w:rPr>
          <w:i/>
          <w:iCs/>
          <w:lang w:eastAsia="en-AU"/>
        </w:rPr>
        <w:t>liability cap exceedance uplift</w:t>
      </w:r>
      <w:r w:rsidR="00925BF9">
        <w:rPr>
          <w:lang w:eastAsia="en-AU"/>
        </w:rPr>
        <w:t xml:space="preserve"> is allocated to the </w:t>
      </w:r>
      <w:r w:rsidR="00925BF9">
        <w:rPr>
          <w:i/>
          <w:iCs/>
          <w:lang w:eastAsia="en-AU"/>
        </w:rPr>
        <w:t>DTS SP</w:t>
      </w:r>
      <w:r w:rsidR="00925BF9">
        <w:rPr>
          <w:lang w:eastAsia="en-AU"/>
        </w:rPr>
        <w:t xml:space="preserve"> </w:t>
      </w:r>
      <w:r w:rsidR="00AC1136">
        <w:rPr>
          <w:lang w:eastAsia="en-AU"/>
        </w:rPr>
        <w:t xml:space="preserve">where the </w:t>
      </w:r>
      <w:r w:rsidR="00586BF2">
        <w:rPr>
          <w:lang w:eastAsia="en-AU"/>
        </w:rPr>
        <w:t xml:space="preserve">aggregate </w:t>
      </w:r>
      <w:r w:rsidR="00913786">
        <w:rPr>
          <w:lang w:eastAsia="en-AU"/>
        </w:rPr>
        <w:t>payment</w:t>
      </w:r>
      <w:r w:rsidR="00477A5B">
        <w:rPr>
          <w:lang w:eastAsia="en-AU"/>
        </w:rPr>
        <w:t xml:space="preserve"> rate ($ per GJ)</w:t>
      </w:r>
      <w:r w:rsidR="00913786">
        <w:rPr>
          <w:lang w:eastAsia="en-AU"/>
        </w:rPr>
        <w:t xml:space="preserve"> </w:t>
      </w:r>
      <w:r w:rsidR="00586BF2">
        <w:rPr>
          <w:lang w:eastAsia="en-AU"/>
        </w:rPr>
        <w:t xml:space="preserve">over the </w:t>
      </w:r>
      <w:r w:rsidR="00586BF2">
        <w:rPr>
          <w:i/>
          <w:iCs/>
          <w:lang w:eastAsia="en-AU"/>
        </w:rPr>
        <w:t xml:space="preserve">gas day </w:t>
      </w:r>
      <w:r w:rsidR="00913786">
        <w:rPr>
          <w:lang w:eastAsia="en-AU"/>
        </w:rPr>
        <w:t xml:space="preserve">for </w:t>
      </w:r>
      <w:r w:rsidR="00AC1136" w:rsidRPr="00AC1136">
        <w:rPr>
          <w:i/>
          <w:iCs/>
          <w:lang w:eastAsia="en-AU"/>
        </w:rPr>
        <w:t>DTS SP uplift</w:t>
      </w:r>
      <w:r w:rsidR="00AC1136">
        <w:rPr>
          <w:lang w:eastAsia="en-AU"/>
        </w:rPr>
        <w:t xml:space="preserve"> exceeds </w:t>
      </w:r>
      <w:r w:rsidR="00197270">
        <w:rPr>
          <w:lang w:eastAsia="en-AU"/>
        </w:rPr>
        <w:t xml:space="preserve">the event </w:t>
      </w:r>
      <w:r w:rsidR="00913786">
        <w:rPr>
          <w:lang w:eastAsia="en-AU"/>
        </w:rPr>
        <w:t>cap</w:t>
      </w:r>
      <w:r w:rsidR="00D851F5">
        <w:rPr>
          <w:lang w:eastAsia="en-AU"/>
        </w:rPr>
        <w:t xml:space="preserve"> in the </w:t>
      </w:r>
      <w:r w:rsidR="00D851F5">
        <w:rPr>
          <w:i/>
          <w:iCs/>
          <w:lang w:eastAsia="en-AU"/>
        </w:rPr>
        <w:t>service envelope agreement</w:t>
      </w:r>
      <w:r w:rsidR="00726833">
        <w:rPr>
          <w:lang w:eastAsia="en-AU"/>
        </w:rPr>
        <w:t>.</w:t>
      </w:r>
    </w:p>
    <w:p w14:paraId="56EDFC2C" w14:textId="7913E824" w:rsidR="00C72FC8" w:rsidRDefault="00C72FC8" w:rsidP="00BB55EA">
      <w:pPr>
        <w:pStyle w:val="BodyText"/>
        <w:rPr>
          <w:lang w:eastAsia="en-AU"/>
        </w:rPr>
      </w:pPr>
      <w:r w:rsidRPr="00E10AAB">
        <w:rPr>
          <w:i/>
          <w:iCs/>
          <w:lang w:eastAsia="en-AU"/>
        </w:rPr>
        <w:t>DTS SP event liability cap exceedance uplift</w:t>
      </w:r>
      <w:r>
        <w:rPr>
          <w:lang w:eastAsia="en-AU"/>
        </w:rPr>
        <w:t xml:space="preserve"> is always a payment to</w:t>
      </w:r>
      <w:r w:rsidR="00E10AAB">
        <w:rPr>
          <w:lang w:eastAsia="en-AU"/>
        </w:rPr>
        <w:t xml:space="preserve"> </w:t>
      </w:r>
      <w:r>
        <w:rPr>
          <w:lang w:eastAsia="en-AU"/>
        </w:rPr>
        <w:t>th</w:t>
      </w:r>
      <w:r w:rsidR="00E10AAB">
        <w:rPr>
          <w:lang w:eastAsia="en-AU"/>
        </w:rPr>
        <w:t>e</w:t>
      </w:r>
      <w:r>
        <w:rPr>
          <w:lang w:eastAsia="en-AU"/>
        </w:rPr>
        <w:t xml:space="preserve"> </w:t>
      </w:r>
      <w:r w:rsidRPr="00E81FCC">
        <w:rPr>
          <w:i/>
          <w:iCs/>
          <w:lang w:eastAsia="en-AU"/>
        </w:rPr>
        <w:t>DTS SP</w:t>
      </w:r>
      <w:r>
        <w:rPr>
          <w:lang w:eastAsia="en-AU"/>
        </w:rPr>
        <w:t>.</w:t>
      </w:r>
    </w:p>
    <w:p w14:paraId="0BBD9FDF" w14:textId="440541B9" w:rsidR="001D04D2" w:rsidRDefault="00195A2E" w:rsidP="001D04D2">
      <w:pPr>
        <w:pStyle w:val="Heading3"/>
        <w:rPr>
          <w:lang w:eastAsia="en-AU"/>
        </w:rPr>
      </w:pPr>
      <w:r w:rsidRPr="00195A2E">
        <w:rPr>
          <w:lang w:eastAsia="en-AU"/>
        </w:rPr>
        <w:t>DTS SP annual liabi</w:t>
      </w:r>
      <w:r w:rsidR="0095696D">
        <w:rPr>
          <w:lang w:eastAsia="en-AU"/>
        </w:rPr>
        <w:t>li</w:t>
      </w:r>
      <w:r w:rsidRPr="00195A2E">
        <w:rPr>
          <w:lang w:eastAsia="en-AU"/>
        </w:rPr>
        <w:t>ty cap exceedance uplift</w:t>
      </w:r>
      <w:r w:rsidR="00A30525">
        <w:rPr>
          <w:lang w:eastAsia="en-AU"/>
        </w:rPr>
        <w:t xml:space="preserve"> </w:t>
      </w:r>
      <w:r w:rsidR="00A30525">
        <w:rPr>
          <w:rStyle w:val="FootnoteReference"/>
          <w:lang w:eastAsia="en-AU"/>
        </w:rPr>
        <w:footnoteReference w:id="4"/>
      </w:r>
    </w:p>
    <w:p w14:paraId="3746E59F" w14:textId="77777777" w:rsidR="00474D41" w:rsidRPr="00474D41" w:rsidRDefault="00474D41" w:rsidP="00474D41">
      <w:pPr>
        <w:pStyle w:val="ResetPara"/>
        <w:rPr>
          <w:lang w:eastAsia="en-AU"/>
        </w:rPr>
      </w:pPr>
    </w:p>
    <w:p w14:paraId="11104A1E" w14:textId="5217602C" w:rsidR="006C7549" w:rsidRDefault="00A62B85" w:rsidP="006C7549">
      <w:pPr>
        <w:pStyle w:val="BodyText"/>
        <w:rPr>
          <w:lang w:eastAsia="en-AU"/>
        </w:rPr>
      </w:pPr>
      <w:r w:rsidRPr="00A62B85">
        <w:rPr>
          <w:lang w:eastAsia="en-AU"/>
        </w:rPr>
        <w:t>Where</w:t>
      </w:r>
      <w:r>
        <w:rPr>
          <w:i/>
          <w:iCs/>
          <w:lang w:eastAsia="en-AU"/>
        </w:rPr>
        <w:t xml:space="preserve"> DTS SP uplift </w:t>
      </w:r>
      <w:r w:rsidRPr="00A62B85">
        <w:rPr>
          <w:lang w:eastAsia="en-AU"/>
        </w:rPr>
        <w:t xml:space="preserve">is payable in respect of a </w:t>
      </w:r>
      <w:r>
        <w:rPr>
          <w:i/>
          <w:iCs/>
          <w:lang w:eastAsia="en-AU"/>
        </w:rPr>
        <w:t>gas day</w:t>
      </w:r>
      <w:r w:rsidR="00DA13C2" w:rsidRPr="00DA13C2">
        <w:rPr>
          <w:lang w:eastAsia="en-AU"/>
        </w:rPr>
        <w:t xml:space="preserve"> </w:t>
      </w:r>
      <w:r w:rsidR="00DA13C2" w:rsidRPr="007D2C9D">
        <w:rPr>
          <w:lang w:eastAsia="en-AU"/>
        </w:rPr>
        <w:t>and</w:t>
      </w:r>
      <w:r w:rsidR="00DA13C2">
        <w:rPr>
          <w:i/>
          <w:iCs/>
          <w:lang w:eastAsia="en-AU"/>
        </w:rPr>
        <w:t xml:space="preserve"> operating schedule</w:t>
      </w:r>
      <w:r w:rsidR="00DA13C2" w:rsidRPr="008669A0">
        <w:rPr>
          <w:lang w:eastAsia="en-AU"/>
        </w:rPr>
        <w:t>,</w:t>
      </w:r>
      <w:r>
        <w:rPr>
          <w:i/>
          <w:iCs/>
          <w:lang w:eastAsia="en-AU"/>
        </w:rPr>
        <w:t xml:space="preserve"> </w:t>
      </w:r>
      <w:r w:rsidR="00195A2E" w:rsidRPr="00953066">
        <w:rPr>
          <w:i/>
          <w:iCs/>
          <w:lang w:eastAsia="en-AU"/>
        </w:rPr>
        <w:t>DTS SP annual liabi</w:t>
      </w:r>
      <w:r w:rsidR="0095696D">
        <w:rPr>
          <w:i/>
          <w:iCs/>
          <w:lang w:eastAsia="en-AU"/>
        </w:rPr>
        <w:t>li</w:t>
      </w:r>
      <w:r w:rsidR="00195A2E" w:rsidRPr="00953066">
        <w:rPr>
          <w:i/>
          <w:iCs/>
          <w:lang w:eastAsia="en-AU"/>
        </w:rPr>
        <w:t>ty cap exceedance uplift</w:t>
      </w:r>
      <w:r w:rsidR="00195A2E" w:rsidRPr="00195A2E">
        <w:rPr>
          <w:lang w:eastAsia="en-AU"/>
        </w:rPr>
        <w:t xml:space="preserve"> </w:t>
      </w:r>
      <w:r w:rsidR="009554D7">
        <w:rPr>
          <w:lang w:eastAsia="en-AU"/>
        </w:rPr>
        <w:t xml:space="preserve">is allocated to the </w:t>
      </w:r>
      <w:r w:rsidR="00302305" w:rsidRPr="00076CCC">
        <w:rPr>
          <w:i/>
          <w:iCs/>
          <w:lang w:eastAsia="en-AU"/>
        </w:rPr>
        <w:t>DTS SP</w:t>
      </w:r>
      <w:r w:rsidR="00302305" w:rsidRPr="00925BF9">
        <w:rPr>
          <w:lang w:eastAsia="en-AU"/>
        </w:rPr>
        <w:t xml:space="preserve"> </w:t>
      </w:r>
      <w:r w:rsidR="006C7549">
        <w:rPr>
          <w:lang w:eastAsia="en-AU"/>
        </w:rPr>
        <w:t xml:space="preserve">where the </w:t>
      </w:r>
      <w:r w:rsidR="00CE6209">
        <w:rPr>
          <w:lang w:eastAsia="en-AU"/>
        </w:rPr>
        <w:t xml:space="preserve">total payment </w:t>
      </w:r>
      <w:r w:rsidR="00CC05F3">
        <w:rPr>
          <w:lang w:eastAsia="en-AU"/>
        </w:rPr>
        <w:t xml:space="preserve">in a calendar year </w:t>
      </w:r>
      <w:r w:rsidR="00CE6209">
        <w:rPr>
          <w:lang w:eastAsia="en-AU"/>
        </w:rPr>
        <w:t>for</w:t>
      </w:r>
      <w:r w:rsidR="006C7549">
        <w:rPr>
          <w:lang w:eastAsia="en-AU"/>
        </w:rPr>
        <w:t xml:space="preserve"> </w:t>
      </w:r>
      <w:r w:rsidR="006C7549" w:rsidRPr="00AC1136">
        <w:rPr>
          <w:i/>
          <w:iCs/>
          <w:lang w:eastAsia="en-AU"/>
        </w:rPr>
        <w:t>DTS SP uplift</w:t>
      </w:r>
      <w:r w:rsidR="006C7549">
        <w:rPr>
          <w:lang w:eastAsia="en-AU"/>
        </w:rPr>
        <w:t xml:space="preserve"> exceeds the </w:t>
      </w:r>
      <w:r w:rsidR="00CE6209">
        <w:rPr>
          <w:lang w:eastAsia="en-AU"/>
        </w:rPr>
        <w:t xml:space="preserve">annual cap </w:t>
      </w:r>
      <w:r w:rsidR="006C7549">
        <w:rPr>
          <w:lang w:eastAsia="en-AU"/>
        </w:rPr>
        <w:t xml:space="preserve">in the </w:t>
      </w:r>
      <w:r w:rsidR="006C7549">
        <w:rPr>
          <w:i/>
          <w:iCs/>
          <w:lang w:eastAsia="en-AU"/>
        </w:rPr>
        <w:t>service envelope agreement</w:t>
      </w:r>
      <w:r w:rsidR="006C7549">
        <w:rPr>
          <w:lang w:eastAsia="en-AU"/>
        </w:rPr>
        <w:t>.</w:t>
      </w:r>
    </w:p>
    <w:p w14:paraId="04699FBC" w14:textId="2B36E165" w:rsidR="00953066" w:rsidRDefault="00953066" w:rsidP="00953066">
      <w:pPr>
        <w:pStyle w:val="BodyText"/>
        <w:rPr>
          <w:lang w:eastAsia="en-AU"/>
        </w:rPr>
      </w:pPr>
      <w:r w:rsidRPr="00E10AAB">
        <w:rPr>
          <w:i/>
          <w:iCs/>
          <w:lang w:eastAsia="en-AU"/>
        </w:rPr>
        <w:t xml:space="preserve">DTS SP </w:t>
      </w:r>
      <w:r>
        <w:rPr>
          <w:i/>
          <w:iCs/>
          <w:lang w:eastAsia="en-AU"/>
        </w:rPr>
        <w:t>annual</w:t>
      </w:r>
      <w:r w:rsidRPr="00E10AAB">
        <w:rPr>
          <w:i/>
          <w:iCs/>
          <w:lang w:eastAsia="en-AU"/>
        </w:rPr>
        <w:t xml:space="preserve"> liability cap exceedance uplift</w:t>
      </w:r>
      <w:r>
        <w:rPr>
          <w:lang w:eastAsia="en-AU"/>
        </w:rPr>
        <w:t xml:space="preserve"> is always a payment to the </w:t>
      </w:r>
      <w:r w:rsidRPr="00E81FCC">
        <w:rPr>
          <w:i/>
          <w:iCs/>
          <w:lang w:eastAsia="en-AU"/>
        </w:rPr>
        <w:t>DTS SP</w:t>
      </w:r>
      <w:r>
        <w:rPr>
          <w:lang w:eastAsia="en-AU"/>
        </w:rPr>
        <w:t>.</w:t>
      </w:r>
    </w:p>
    <w:p w14:paraId="409054A6" w14:textId="387CDD27" w:rsidR="00953066" w:rsidRDefault="00076CCC" w:rsidP="00076CCC">
      <w:pPr>
        <w:pStyle w:val="Heading3"/>
        <w:rPr>
          <w:lang w:eastAsia="en-AU"/>
        </w:rPr>
      </w:pPr>
      <w:r>
        <w:rPr>
          <w:lang w:eastAsia="en-AU"/>
        </w:rPr>
        <w:t>Surprise uplift</w:t>
      </w:r>
      <w:r w:rsidR="00A30525">
        <w:rPr>
          <w:lang w:eastAsia="en-AU"/>
        </w:rPr>
        <w:t xml:space="preserve"> </w:t>
      </w:r>
      <w:r w:rsidR="00A30525">
        <w:rPr>
          <w:rStyle w:val="FootnoteReference"/>
          <w:lang w:eastAsia="en-AU"/>
        </w:rPr>
        <w:footnoteReference w:id="5"/>
      </w:r>
    </w:p>
    <w:p w14:paraId="79AE2208" w14:textId="77777777" w:rsidR="00A30525" w:rsidRPr="00A30525" w:rsidRDefault="00A30525" w:rsidP="00A30525">
      <w:pPr>
        <w:pStyle w:val="ResetPara"/>
        <w:rPr>
          <w:lang w:eastAsia="en-AU"/>
        </w:rPr>
      </w:pPr>
    </w:p>
    <w:p w14:paraId="657B61EC" w14:textId="5BB7351B" w:rsidR="008669A0" w:rsidRDefault="008669A0" w:rsidP="00076CCC">
      <w:pPr>
        <w:pStyle w:val="BodyText"/>
        <w:rPr>
          <w:lang w:eastAsia="en-AU"/>
        </w:rPr>
      </w:pPr>
      <w:r w:rsidRPr="008669A0">
        <w:rPr>
          <w:lang w:eastAsia="en-AU"/>
        </w:rPr>
        <w:t xml:space="preserve">Where </w:t>
      </w:r>
      <w:r w:rsidR="00CA5E84">
        <w:rPr>
          <w:i/>
          <w:iCs/>
          <w:lang w:eastAsia="en-AU"/>
        </w:rPr>
        <w:t>total uplift</w:t>
      </w:r>
      <w:r w:rsidRPr="00E81FCC">
        <w:rPr>
          <w:i/>
          <w:iCs/>
          <w:lang w:eastAsia="en-AU"/>
        </w:rPr>
        <w:t xml:space="preserve"> payments </w:t>
      </w:r>
      <w:r w:rsidRPr="008669A0">
        <w:rPr>
          <w:lang w:eastAsia="en-AU"/>
        </w:rPr>
        <w:t xml:space="preserve">are payable in respect of a </w:t>
      </w:r>
      <w:r w:rsidRPr="00E81FCC">
        <w:rPr>
          <w:i/>
          <w:iCs/>
          <w:lang w:eastAsia="en-AU"/>
        </w:rPr>
        <w:t>gas day</w:t>
      </w:r>
      <w:r w:rsidR="007D2C9D">
        <w:rPr>
          <w:i/>
          <w:iCs/>
          <w:lang w:eastAsia="en-AU"/>
        </w:rPr>
        <w:t xml:space="preserve"> </w:t>
      </w:r>
      <w:r w:rsidR="007D2C9D" w:rsidRPr="007D2C9D">
        <w:rPr>
          <w:lang w:eastAsia="en-AU"/>
        </w:rPr>
        <w:t>and</w:t>
      </w:r>
      <w:r w:rsidR="007D2C9D">
        <w:rPr>
          <w:i/>
          <w:iCs/>
          <w:lang w:eastAsia="en-AU"/>
        </w:rPr>
        <w:t xml:space="preserve"> </w:t>
      </w:r>
      <w:r w:rsidR="00CF265D">
        <w:rPr>
          <w:i/>
          <w:iCs/>
          <w:lang w:eastAsia="en-AU"/>
        </w:rPr>
        <w:t xml:space="preserve">operating </w:t>
      </w:r>
      <w:r w:rsidR="007D2C9D">
        <w:rPr>
          <w:i/>
          <w:iCs/>
          <w:lang w:eastAsia="en-AU"/>
        </w:rPr>
        <w:t>schedule</w:t>
      </w:r>
      <w:r w:rsidRPr="008669A0">
        <w:rPr>
          <w:lang w:eastAsia="en-AU"/>
        </w:rPr>
        <w:t xml:space="preserve">, </w:t>
      </w:r>
      <w:r w:rsidRPr="00E81FCC">
        <w:rPr>
          <w:i/>
          <w:iCs/>
          <w:lang w:eastAsia="en-AU"/>
        </w:rPr>
        <w:t>surprise uplift</w:t>
      </w:r>
      <w:r w:rsidRPr="008669A0">
        <w:rPr>
          <w:lang w:eastAsia="en-AU"/>
        </w:rPr>
        <w:t xml:space="preserve"> will be allocated to any </w:t>
      </w:r>
      <w:r w:rsidR="4191BDB3" w:rsidRPr="54774606">
        <w:rPr>
          <w:i/>
          <w:iCs/>
          <w:lang w:eastAsia="en-AU"/>
        </w:rPr>
        <w:t>M</w:t>
      </w:r>
      <w:r w:rsidR="487FF37E" w:rsidRPr="54774606">
        <w:rPr>
          <w:i/>
          <w:iCs/>
          <w:lang w:eastAsia="en-AU"/>
        </w:rPr>
        <w:t xml:space="preserve">arket </w:t>
      </w:r>
      <w:r w:rsidR="14A37855" w:rsidRPr="54774606">
        <w:rPr>
          <w:i/>
          <w:iCs/>
          <w:lang w:eastAsia="en-AU"/>
        </w:rPr>
        <w:t>P</w:t>
      </w:r>
      <w:r w:rsidR="487FF37E" w:rsidRPr="54774606">
        <w:rPr>
          <w:i/>
          <w:iCs/>
          <w:lang w:eastAsia="en-AU"/>
        </w:rPr>
        <w:t>articipant</w:t>
      </w:r>
      <w:r w:rsidR="00E81FCC" w:rsidRPr="00E81FCC">
        <w:rPr>
          <w:i/>
          <w:iCs/>
          <w:lang w:eastAsia="en-AU"/>
        </w:rPr>
        <w:t xml:space="preserve"> </w:t>
      </w:r>
      <w:r w:rsidRPr="008669A0">
        <w:rPr>
          <w:lang w:eastAsia="en-AU"/>
        </w:rPr>
        <w:t xml:space="preserve">which does not inject or withdraw gas in a </w:t>
      </w:r>
      <w:r w:rsidRPr="00E81FCC">
        <w:rPr>
          <w:i/>
          <w:iCs/>
          <w:lang w:eastAsia="en-AU"/>
        </w:rPr>
        <w:t>gas day</w:t>
      </w:r>
      <w:r w:rsidRPr="008669A0">
        <w:rPr>
          <w:lang w:eastAsia="en-AU"/>
        </w:rPr>
        <w:t xml:space="preserve"> in accordance with that </w:t>
      </w:r>
      <w:r w:rsidR="002D58F7" w:rsidRPr="002D58F7">
        <w:rPr>
          <w:i/>
          <w:iCs/>
          <w:lang w:eastAsia="en-AU"/>
        </w:rPr>
        <w:t xml:space="preserve">Market </w:t>
      </w:r>
      <w:r w:rsidR="00DD0B29" w:rsidRPr="002D58F7">
        <w:rPr>
          <w:i/>
          <w:iCs/>
          <w:lang w:eastAsia="en-AU"/>
        </w:rPr>
        <w:t>Participant’s</w:t>
      </w:r>
      <w:r w:rsidR="00E81FCC" w:rsidRPr="002B2B46">
        <w:rPr>
          <w:i/>
          <w:iCs/>
          <w:lang w:eastAsia="en-AU"/>
        </w:rPr>
        <w:t xml:space="preserve"> </w:t>
      </w:r>
      <w:r w:rsidR="001404A7">
        <w:rPr>
          <w:i/>
          <w:iCs/>
          <w:lang w:eastAsia="en-AU"/>
        </w:rPr>
        <w:t xml:space="preserve">scheduled injection </w:t>
      </w:r>
      <w:r w:rsidR="001404A7" w:rsidRPr="001404A7">
        <w:rPr>
          <w:lang w:eastAsia="en-AU"/>
        </w:rPr>
        <w:t>or</w:t>
      </w:r>
      <w:r w:rsidR="001404A7">
        <w:rPr>
          <w:i/>
          <w:iCs/>
          <w:lang w:eastAsia="en-AU"/>
        </w:rPr>
        <w:t xml:space="preserve"> scheduled withdrawal </w:t>
      </w:r>
      <w:r w:rsidRPr="008669A0">
        <w:rPr>
          <w:lang w:eastAsia="en-AU"/>
        </w:rPr>
        <w:t xml:space="preserve">(as applicable) </w:t>
      </w:r>
      <w:r w:rsidR="00EA43EF">
        <w:rPr>
          <w:lang w:eastAsia="en-AU"/>
        </w:rPr>
        <w:t>for</w:t>
      </w:r>
      <w:r w:rsidRPr="008669A0">
        <w:rPr>
          <w:lang w:eastAsia="en-AU"/>
        </w:rPr>
        <w:t xml:space="preserve"> the previous </w:t>
      </w:r>
      <w:r w:rsidRPr="000752CE">
        <w:rPr>
          <w:i/>
          <w:iCs/>
          <w:lang w:eastAsia="en-AU"/>
        </w:rPr>
        <w:t>schedul</w:t>
      </w:r>
      <w:r w:rsidR="000752CE" w:rsidRPr="000752CE">
        <w:rPr>
          <w:i/>
          <w:iCs/>
          <w:lang w:eastAsia="en-AU"/>
        </w:rPr>
        <w:t>ing</w:t>
      </w:r>
      <w:r w:rsidRPr="000752CE">
        <w:rPr>
          <w:i/>
          <w:iCs/>
          <w:lang w:eastAsia="en-AU"/>
        </w:rPr>
        <w:t xml:space="preserve"> </w:t>
      </w:r>
      <w:r w:rsidR="00172FF3" w:rsidRPr="005854FE">
        <w:rPr>
          <w:i/>
          <w:iCs/>
          <w:lang w:eastAsia="en-AU"/>
        </w:rPr>
        <w:t>interval</w:t>
      </w:r>
      <w:r w:rsidR="00172FF3" w:rsidRPr="005854FE">
        <w:rPr>
          <w:lang w:eastAsia="en-AU"/>
        </w:rPr>
        <w:t xml:space="preserve"> </w:t>
      </w:r>
      <w:r w:rsidRPr="005854FE">
        <w:rPr>
          <w:lang w:eastAsia="en-AU"/>
        </w:rPr>
        <w:t xml:space="preserve">or </w:t>
      </w:r>
      <w:r w:rsidR="003D06CB" w:rsidRPr="005854FE">
        <w:rPr>
          <w:lang w:eastAsia="en-AU"/>
        </w:rPr>
        <w:t xml:space="preserve">if </w:t>
      </w:r>
      <w:r w:rsidR="3CD0C605" w:rsidRPr="54774606">
        <w:rPr>
          <w:lang w:eastAsia="en-AU"/>
        </w:rPr>
        <w:t xml:space="preserve">that </w:t>
      </w:r>
      <w:r w:rsidR="3CD0C605" w:rsidRPr="00600536">
        <w:rPr>
          <w:i/>
          <w:iCs/>
          <w:lang w:eastAsia="en-AU"/>
        </w:rPr>
        <w:t>Market Participant</w:t>
      </w:r>
      <w:r w:rsidR="3CD0C605" w:rsidRPr="54774606">
        <w:rPr>
          <w:lang w:eastAsia="en-AU"/>
        </w:rPr>
        <w:t>’</w:t>
      </w:r>
      <w:r w:rsidR="33CCE7DA" w:rsidRPr="54774606">
        <w:rPr>
          <w:lang w:eastAsia="en-AU"/>
        </w:rPr>
        <w:t>s</w:t>
      </w:r>
      <w:r w:rsidRPr="005854FE">
        <w:rPr>
          <w:lang w:eastAsia="en-AU"/>
        </w:rPr>
        <w:t xml:space="preserve"> </w:t>
      </w:r>
      <w:r w:rsidRPr="005854FE">
        <w:rPr>
          <w:i/>
          <w:iCs/>
          <w:lang w:eastAsia="en-AU"/>
        </w:rPr>
        <w:t>demand forecast</w:t>
      </w:r>
      <w:r w:rsidRPr="005854FE">
        <w:rPr>
          <w:lang w:eastAsia="en-AU"/>
        </w:rPr>
        <w:t xml:space="preserve"> </w:t>
      </w:r>
      <w:r w:rsidR="00370CDF" w:rsidRPr="005854FE">
        <w:rPr>
          <w:lang w:eastAsia="en-AU"/>
        </w:rPr>
        <w:t xml:space="preserve">or </w:t>
      </w:r>
      <w:r w:rsidR="00F36B77" w:rsidRPr="005854FE">
        <w:rPr>
          <w:lang w:eastAsia="en-AU"/>
        </w:rPr>
        <w:t>its</w:t>
      </w:r>
      <w:r w:rsidRPr="005854FE">
        <w:rPr>
          <w:lang w:eastAsia="en-AU"/>
        </w:rPr>
        <w:t xml:space="preserve"> </w:t>
      </w:r>
      <w:r w:rsidR="000B2D80" w:rsidRPr="005854FE">
        <w:rPr>
          <w:i/>
          <w:iCs/>
          <w:lang w:eastAsia="en-AU"/>
        </w:rPr>
        <w:t xml:space="preserve">scheduled injection </w:t>
      </w:r>
      <w:r w:rsidR="000B2D80" w:rsidRPr="005854FE">
        <w:rPr>
          <w:lang w:eastAsia="en-AU"/>
        </w:rPr>
        <w:t>or</w:t>
      </w:r>
      <w:r w:rsidR="000B2D80" w:rsidRPr="005854FE">
        <w:rPr>
          <w:i/>
          <w:iCs/>
          <w:lang w:eastAsia="en-AU"/>
        </w:rPr>
        <w:t xml:space="preserve"> scheduled withdrawal </w:t>
      </w:r>
      <w:r w:rsidR="000B2D80" w:rsidRPr="005854FE">
        <w:rPr>
          <w:lang w:eastAsia="en-AU"/>
        </w:rPr>
        <w:t>(as applicable)</w:t>
      </w:r>
      <w:r w:rsidR="00457E5F" w:rsidRPr="005854FE">
        <w:rPr>
          <w:lang w:eastAsia="en-AU"/>
        </w:rPr>
        <w:t xml:space="preserve"> for the u</w:t>
      </w:r>
      <w:r w:rsidR="00457E5F" w:rsidRPr="003076F3">
        <w:rPr>
          <w:lang w:eastAsia="en-AU"/>
        </w:rPr>
        <w:t xml:space="preserve">pcoming </w:t>
      </w:r>
      <w:r w:rsidR="00457E5F" w:rsidRPr="003076F3">
        <w:rPr>
          <w:i/>
          <w:iCs/>
          <w:lang w:eastAsia="en-AU"/>
        </w:rPr>
        <w:t>scheduling horizon</w:t>
      </w:r>
      <w:r w:rsidRPr="005854FE">
        <w:rPr>
          <w:lang w:eastAsia="en-AU"/>
        </w:rPr>
        <w:t xml:space="preserve"> increase or decrease between the previous and the current</w:t>
      </w:r>
      <w:r w:rsidRPr="00F45A33">
        <w:rPr>
          <w:i/>
          <w:iCs/>
          <w:lang w:eastAsia="en-AU"/>
        </w:rPr>
        <w:t xml:space="preserve"> </w:t>
      </w:r>
      <w:r w:rsidR="00F45A33" w:rsidRPr="00F45A33">
        <w:rPr>
          <w:i/>
          <w:iCs/>
          <w:lang w:eastAsia="en-AU"/>
        </w:rPr>
        <w:t xml:space="preserve">operating </w:t>
      </w:r>
      <w:r w:rsidRPr="00F45A33">
        <w:rPr>
          <w:i/>
          <w:iCs/>
          <w:lang w:eastAsia="en-AU"/>
        </w:rPr>
        <w:t>schedules</w:t>
      </w:r>
      <w:r w:rsidRPr="005854FE">
        <w:rPr>
          <w:lang w:eastAsia="en-AU"/>
        </w:rPr>
        <w:t>.</w:t>
      </w:r>
    </w:p>
    <w:p w14:paraId="17218FD7" w14:textId="4CDACDFE" w:rsidR="00F50439" w:rsidRDefault="00F50439" w:rsidP="00076CCC">
      <w:pPr>
        <w:pStyle w:val="BodyText"/>
        <w:rPr>
          <w:lang w:eastAsia="en-AU"/>
        </w:rPr>
      </w:pPr>
      <w:r>
        <w:rPr>
          <w:i/>
          <w:iCs/>
          <w:lang w:eastAsia="en-AU"/>
        </w:rPr>
        <w:t xml:space="preserve">Surprise uplift </w:t>
      </w:r>
      <w:r w:rsidR="00246A95">
        <w:rPr>
          <w:lang w:eastAsia="en-AU"/>
        </w:rPr>
        <w:t xml:space="preserve">is a payment by the </w:t>
      </w:r>
      <w:r w:rsidR="00AF433C" w:rsidRPr="00FC4B17">
        <w:rPr>
          <w:i/>
          <w:iCs/>
          <w:lang w:eastAsia="en-AU"/>
        </w:rPr>
        <w:t>Market Participant</w:t>
      </w:r>
      <w:r w:rsidR="00246A95">
        <w:rPr>
          <w:lang w:eastAsia="en-AU"/>
        </w:rPr>
        <w:t xml:space="preserve"> if the </w:t>
      </w:r>
      <w:r w:rsidR="00F45A33">
        <w:rPr>
          <w:i/>
          <w:iCs/>
          <w:lang w:eastAsia="en-AU"/>
        </w:rPr>
        <w:t>total uplift</w:t>
      </w:r>
      <w:r w:rsidR="00246A95" w:rsidRPr="00FC4B17">
        <w:rPr>
          <w:i/>
          <w:iCs/>
          <w:lang w:eastAsia="en-AU"/>
        </w:rPr>
        <w:t xml:space="preserve"> payment </w:t>
      </w:r>
      <w:r w:rsidR="00FC4B17">
        <w:rPr>
          <w:lang w:eastAsia="en-AU"/>
        </w:rPr>
        <w:t xml:space="preserve">for the </w:t>
      </w:r>
      <w:r w:rsidR="00511D1C" w:rsidRPr="00511D1C">
        <w:rPr>
          <w:i/>
          <w:iCs/>
          <w:lang w:eastAsia="en-AU"/>
        </w:rPr>
        <w:t xml:space="preserve">operating </w:t>
      </w:r>
      <w:r w:rsidR="00FC4B17" w:rsidRPr="00511D1C">
        <w:rPr>
          <w:i/>
          <w:iCs/>
          <w:lang w:eastAsia="en-AU"/>
        </w:rPr>
        <w:t>schedule</w:t>
      </w:r>
      <w:r w:rsidR="00FC4B17">
        <w:rPr>
          <w:lang w:eastAsia="en-AU"/>
        </w:rPr>
        <w:t xml:space="preserve"> is positive</w:t>
      </w:r>
      <w:r w:rsidR="000D2584">
        <w:rPr>
          <w:lang w:eastAsia="en-AU"/>
        </w:rPr>
        <w:t>.</w:t>
      </w:r>
    </w:p>
    <w:p w14:paraId="21C55DF9" w14:textId="4EAE67E0" w:rsidR="000D2584" w:rsidRPr="00F50439" w:rsidRDefault="000D2584" w:rsidP="00076CCC">
      <w:pPr>
        <w:pStyle w:val="BodyText"/>
        <w:rPr>
          <w:lang w:eastAsia="en-AU"/>
        </w:rPr>
      </w:pPr>
      <w:r>
        <w:rPr>
          <w:i/>
          <w:iCs/>
          <w:lang w:eastAsia="en-AU"/>
        </w:rPr>
        <w:t xml:space="preserve">Surprise uplift </w:t>
      </w:r>
      <w:r>
        <w:rPr>
          <w:lang w:eastAsia="en-AU"/>
        </w:rPr>
        <w:t>is</w:t>
      </w:r>
      <w:r w:rsidR="005329FA">
        <w:rPr>
          <w:lang w:eastAsia="en-AU"/>
        </w:rPr>
        <w:t xml:space="preserve"> </w:t>
      </w:r>
      <w:r w:rsidR="722DF1CB" w:rsidRPr="54774606">
        <w:rPr>
          <w:lang w:eastAsia="en-AU"/>
        </w:rPr>
        <w:t>a payment</w:t>
      </w:r>
      <w:r w:rsidR="005329FA">
        <w:rPr>
          <w:lang w:eastAsia="en-AU"/>
        </w:rPr>
        <w:t xml:space="preserve"> to </w:t>
      </w:r>
      <w:r>
        <w:rPr>
          <w:lang w:eastAsia="en-AU"/>
        </w:rPr>
        <w:t xml:space="preserve">the </w:t>
      </w:r>
      <w:r w:rsidR="00AF433C" w:rsidRPr="00FC4B17">
        <w:rPr>
          <w:i/>
          <w:iCs/>
          <w:lang w:eastAsia="en-AU"/>
        </w:rPr>
        <w:t>Market Participant</w:t>
      </w:r>
      <w:r w:rsidR="00AF433C">
        <w:rPr>
          <w:lang w:eastAsia="en-AU"/>
        </w:rPr>
        <w:t xml:space="preserve"> </w:t>
      </w:r>
      <w:r>
        <w:rPr>
          <w:lang w:eastAsia="en-AU"/>
        </w:rPr>
        <w:t xml:space="preserve">if the </w:t>
      </w:r>
      <w:r w:rsidR="00F45A33">
        <w:rPr>
          <w:i/>
          <w:iCs/>
          <w:lang w:eastAsia="en-AU"/>
        </w:rPr>
        <w:t>total uplift</w:t>
      </w:r>
      <w:r w:rsidRPr="00FC4B17">
        <w:rPr>
          <w:i/>
          <w:iCs/>
          <w:lang w:eastAsia="en-AU"/>
        </w:rPr>
        <w:t xml:space="preserve"> payment </w:t>
      </w:r>
      <w:r>
        <w:rPr>
          <w:lang w:eastAsia="en-AU"/>
        </w:rPr>
        <w:t xml:space="preserve">for the </w:t>
      </w:r>
      <w:r w:rsidR="00511D1C">
        <w:rPr>
          <w:i/>
          <w:iCs/>
          <w:lang w:eastAsia="en-AU"/>
        </w:rPr>
        <w:t xml:space="preserve">operating </w:t>
      </w:r>
      <w:r w:rsidRPr="00511D1C">
        <w:rPr>
          <w:i/>
          <w:iCs/>
          <w:lang w:eastAsia="en-AU"/>
        </w:rPr>
        <w:t>schedule</w:t>
      </w:r>
      <w:r>
        <w:rPr>
          <w:lang w:eastAsia="en-AU"/>
        </w:rPr>
        <w:t xml:space="preserve"> is </w:t>
      </w:r>
      <w:r w:rsidR="005329FA">
        <w:rPr>
          <w:lang w:eastAsia="en-AU"/>
        </w:rPr>
        <w:t>negative</w:t>
      </w:r>
      <w:r>
        <w:rPr>
          <w:lang w:eastAsia="en-AU"/>
        </w:rPr>
        <w:t>.</w:t>
      </w:r>
    </w:p>
    <w:p w14:paraId="469FAEC0" w14:textId="1234EA41" w:rsidR="008F2864" w:rsidRDefault="004C4A7D" w:rsidP="00126592">
      <w:pPr>
        <w:pStyle w:val="Heading3"/>
        <w:rPr>
          <w:lang w:eastAsia="en-AU"/>
        </w:rPr>
      </w:pPr>
      <w:r>
        <w:rPr>
          <w:lang w:eastAsia="en-AU"/>
        </w:rPr>
        <w:t>Common uplift</w:t>
      </w:r>
      <w:r w:rsidR="00A30525">
        <w:rPr>
          <w:lang w:eastAsia="en-AU"/>
        </w:rPr>
        <w:t xml:space="preserve"> </w:t>
      </w:r>
      <w:r w:rsidR="00A30525">
        <w:rPr>
          <w:rStyle w:val="FootnoteReference"/>
          <w:lang w:eastAsia="en-AU"/>
        </w:rPr>
        <w:footnoteReference w:id="6"/>
      </w:r>
    </w:p>
    <w:p w14:paraId="76FFDB95" w14:textId="23B2975C" w:rsidR="006B6119" w:rsidRDefault="006B6119" w:rsidP="006B6119">
      <w:pPr>
        <w:pStyle w:val="ResetPara"/>
        <w:rPr>
          <w:lang w:eastAsia="en-AU"/>
        </w:rPr>
      </w:pPr>
    </w:p>
    <w:p w14:paraId="15656B9B" w14:textId="7AA0B3A4" w:rsidR="004C4A7D" w:rsidRDefault="00BD758D" w:rsidP="004C4A7D">
      <w:pPr>
        <w:pStyle w:val="BodyText"/>
        <w:rPr>
          <w:lang w:eastAsia="en-AU"/>
        </w:rPr>
      </w:pPr>
      <w:r w:rsidRPr="008669A0">
        <w:rPr>
          <w:lang w:eastAsia="en-AU"/>
        </w:rPr>
        <w:t xml:space="preserve">Where </w:t>
      </w:r>
      <w:r w:rsidR="00690CE6">
        <w:rPr>
          <w:i/>
          <w:iCs/>
          <w:lang w:eastAsia="en-AU"/>
        </w:rPr>
        <w:t>total uplift</w:t>
      </w:r>
      <w:r w:rsidRPr="00E81FCC">
        <w:rPr>
          <w:i/>
          <w:iCs/>
          <w:lang w:eastAsia="en-AU"/>
        </w:rPr>
        <w:t xml:space="preserve"> payments </w:t>
      </w:r>
      <w:r w:rsidRPr="008669A0">
        <w:rPr>
          <w:lang w:eastAsia="en-AU"/>
        </w:rPr>
        <w:t xml:space="preserve">are payable in respect of a </w:t>
      </w:r>
      <w:r w:rsidRPr="00E81FCC">
        <w:rPr>
          <w:i/>
          <w:iCs/>
          <w:lang w:eastAsia="en-AU"/>
        </w:rPr>
        <w:t>gas day</w:t>
      </w:r>
      <w:r>
        <w:rPr>
          <w:i/>
          <w:iCs/>
          <w:lang w:eastAsia="en-AU"/>
        </w:rPr>
        <w:t xml:space="preserve"> </w:t>
      </w:r>
      <w:r w:rsidRPr="007D2C9D">
        <w:rPr>
          <w:lang w:eastAsia="en-AU"/>
        </w:rPr>
        <w:t>and</w:t>
      </w:r>
      <w:r>
        <w:rPr>
          <w:i/>
          <w:iCs/>
          <w:lang w:eastAsia="en-AU"/>
        </w:rPr>
        <w:t xml:space="preserve"> operating schedule</w:t>
      </w:r>
      <w:r w:rsidRPr="008669A0">
        <w:rPr>
          <w:lang w:eastAsia="en-AU"/>
        </w:rPr>
        <w:t>,</w:t>
      </w:r>
      <w:r>
        <w:rPr>
          <w:lang w:eastAsia="en-AU"/>
        </w:rPr>
        <w:t xml:space="preserve"> </w:t>
      </w:r>
      <w:r w:rsidR="00BB54DB">
        <w:rPr>
          <w:lang w:eastAsia="en-AU"/>
        </w:rPr>
        <w:t xml:space="preserve">and </w:t>
      </w:r>
      <w:r>
        <w:rPr>
          <w:lang w:eastAsia="en-AU"/>
        </w:rPr>
        <w:t xml:space="preserve">are not fully </w:t>
      </w:r>
      <w:r w:rsidR="00A15CED">
        <w:rPr>
          <w:lang w:eastAsia="en-AU"/>
        </w:rPr>
        <w:t>recovered</w:t>
      </w:r>
      <w:r>
        <w:rPr>
          <w:lang w:eastAsia="en-AU"/>
        </w:rPr>
        <w:t xml:space="preserve"> by other </w:t>
      </w:r>
      <w:r>
        <w:rPr>
          <w:i/>
          <w:iCs/>
          <w:lang w:eastAsia="en-AU"/>
        </w:rPr>
        <w:t>uplift payment categories</w:t>
      </w:r>
      <w:r>
        <w:rPr>
          <w:lang w:eastAsia="en-AU"/>
        </w:rPr>
        <w:t xml:space="preserve">, </w:t>
      </w:r>
      <w:r w:rsidR="00291684">
        <w:rPr>
          <w:lang w:eastAsia="en-AU"/>
        </w:rPr>
        <w:t xml:space="preserve">the balance of the </w:t>
      </w:r>
      <w:r w:rsidR="009C3335">
        <w:rPr>
          <w:i/>
          <w:iCs/>
          <w:lang w:eastAsia="en-AU"/>
        </w:rPr>
        <w:t>total uplift</w:t>
      </w:r>
      <w:r w:rsidR="00291684" w:rsidRPr="00291684">
        <w:rPr>
          <w:i/>
          <w:iCs/>
          <w:lang w:eastAsia="en-AU"/>
        </w:rPr>
        <w:t xml:space="preserve"> payments</w:t>
      </w:r>
      <w:r w:rsidR="00291684">
        <w:rPr>
          <w:lang w:eastAsia="en-AU"/>
        </w:rPr>
        <w:t xml:space="preserve"> will </w:t>
      </w:r>
      <w:r w:rsidR="00FB01B9">
        <w:rPr>
          <w:lang w:eastAsia="en-AU"/>
        </w:rPr>
        <w:t xml:space="preserve">be allocated to </w:t>
      </w:r>
      <w:r w:rsidR="39A7732E" w:rsidRPr="00F354A0">
        <w:rPr>
          <w:i/>
          <w:iCs/>
          <w:lang w:eastAsia="en-AU"/>
        </w:rPr>
        <w:t>M</w:t>
      </w:r>
      <w:r w:rsidR="7372399B" w:rsidRPr="00F354A0">
        <w:rPr>
          <w:i/>
          <w:iCs/>
          <w:lang w:eastAsia="en-AU"/>
        </w:rPr>
        <w:t xml:space="preserve">arket </w:t>
      </w:r>
      <w:r w:rsidR="6DECC6C5" w:rsidRPr="00F354A0">
        <w:rPr>
          <w:i/>
          <w:iCs/>
          <w:lang w:eastAsia="en-AU"/>
        </w:rPr>
        <w:t>P</w:t>
      </w:r>
      <w:r w:rsidR="1D6B3150" w:rsidRPr="00F354A0">
        <w:rPr>
          <w:i/>
          <w:iCs/>
          <w:lang w:eastAsia="en-AU"/>
        </w:rPr>
        <w:t>articipants</w:t>
      </w:r>
      <w:r w:rsidR="00FB01B9">
        <w:rPr>
          <w:lang w:eastAsia="en-AU"/>
        </w:rPr>
        <w:t xml:space="preserve"> in proportion </w:t>
      </w:r>
      <w:r w:rsidR="005854FE">
        <w:rPr>
          <w:lang w:eastAsia="en-AU"/>
        </w:rPr>
        <w:t>to</w:t>
      </w:r>
      <w:r w:rsidR="00FB01B9">
        <w:rPr>
          <w:lang w:eastAsia="en-AU"/>
        </w:rPr>
        <w:t xml:space="preserve"> their</w:t>
      </w:r>
      <w:r w:rsidR="00B25F02">
        <w:rPr>
          <w:lang w:eastAsia="en-AU"/>
        </w:rPr>
        <w:t xml:space="preserve"> </w:t>
      </w:r>
      <w:r w:rsidR="00B25F02" w:rsidRPr="00B25F02">
        <w:rPr>
          <w:i/>
          <w:iCs/>
          <w:lang w:eastAsia="en-AU"/>
        </w:rPr>
        <w:t>adjusted</w:t>
      </w:r>
      <w:r w:rsidR="00FB01B9" w:rsidRPr="00B25F02">
        <w:rPr>
          <w:i/>
          <w:iCs/>
          <w:lang w:eastAsia="en-AU"/>
        </w:rPr>
        <w:t xml:space="preserve"> withdrawals</w:t>
      </w:r>
      <w:r w:rsidR="00FB01B9">
        <w:rPr>
          <w:lang w:eastAsia="en-AU"/>
        </w:rPr>
        <w:t xml:space="preserve"> from the </w:t>
      </w:r>
      <w:r w:rsidR="00FB01B9" w:rsidRPr="005854FE">
        <w:rPr>
          <w:i/>
          <w:iCs/>
          <w:lang w:eastAsia="en-AU"/>
        </w:rPr>
        <w:t>declared transmission system</w:t>
      </w:r>
      <w:r w:rsidR="4FC0ADF1" w:rsidRPr="54774606">
        <w:rPr>
          <w:i/>
          <w:iCs/>
          <w:lang w:eastAsia="en-AU"/>
        </w:rPr>
        <w:t xml:space="preserve"> </w:t>
      </w:r>
      <w:r w:rsidR="4FC0ADF1" w:rsidRPr="00CE01D8">
        <w:rPr>
          <w:lang w:eastAsia="en-AU"/>
        </w:rPr>
        <w:t>in respect of that</w:t>
      </w:r>
      <w:r w:rsidR="4FC0ADF1" w:rsidRPr="54774606">
        <w:rPr>
          <w:i/>
          <w:iCs/>
          <w:lang w:eastAsia="en-AU"/>
        </w:rPr>
        <w:t xml:space="preserve"> gas day</w:t>
      </w:r>
      <w:r w:rsidR="00FB01B9">
        <w:rPr>
          <w:lang w:eastAsia="en-AU"/>
        </w:rPr>
        <w:t>.</w:t>
      </w:r>
    </w:p>
    <w:p w14:paraId="593A507D" w14:textId="1381CAA1" w:rsidR="005854FE" w:rsidRDefault="005854FE" w:rsidP="005854FE">
      <w:pPr>
        <w:pStyle w:val="BodyText"/>
        <w:rPr>
          <w:lang w:eastAsia="en-AU"/>
        </w:rPr>
      </w:pPr>
      <w:r>
        <w:rPr>
          <w:i/>
          <w:iCs/>
          <w:lang w:eastAsia="en-AU"/>
        </w:rPr>
        <w:t xml:space="preserve">Common uplift </w:t>
      </w:r>
      <w:r>
        <w:rPr>
          <w:lang w:eastAsia="en-AU"/>
        </w:rPr>
        <w:t xml:space="preserve">is a payment by </w:t>
      </w:r>
      <w:r w:rsidR="00754ED8">
        <w:rPr>
          <w:lang w:eastAsia="en-AU"/>
        </w:rPr>
        <w:t>a</w:t>
      </w:r>
      <w:r>
        <w:rPr>
          <w:lang w:eastAsia="en-AU"/>
        </w:rPr>
        <w:t xml:space="preserve"> </w:t>
      </w:r>
      <w:r w:rsidR="14F410A0" w:rsidRPr="54774606">
        <w:rPr>
          <w:i/>
          <w:iCs/>
          <w:lang w:eastAsia="en-AU"/>
        </w:rPr>
        <w:t>M</w:t>
      </w:r>
      <w:r w:rsidR="1D6B3150" w:rsidRPr="54774606">
        <w:rPr>
          <w:i/>
          <w:iCs/>
          <w:lang w:eastAsia="en-AU"/>
        </w:rPr>
        <w:t xml:space="preserve">arket </w:t>
      </w:r>
      <w:r w:rsidR="229B9D27" w:rsidRPr="54774606">
        <w:rPr>
          <w:i/>
          <w:iCs/>
          <w:lang w:eastAsia="en-AU"/>
        </w:rPr>
        <w:t>P</w:t>
      </w:r>
      <w:r w:rsidR="1D6B3150" w:rsidRPr="54774606">
        <w:rPr>
          <w:i/>
          <w:iCs/>
          <w:lang w:eastAsia="en-AU"/>
        </w:rPr>
        <w:t>articipant</w:t>
      </w:r>
      <w:r>
        <w:rPr>
          <w:lang w:eastAsia="en-AU"/>
        </w:rPr>
        <w:t xml:space="preserve"> if the </w:t>
      </w:r>
      <w:r w:rsidR="009C3335">
        <w:rPr>
          <w:i/>
          <w:iCs/>
          <w:lang w:eastAsia="en-AU"/>
        </w:rPr>
        <w:t>total uplift</w:t>
      </w:r>
      <w:r w:rsidRPr="00FC4B17">
        <w:rPr>
          <w:i/>
          <w:iCs/>
          <w:lang w:eastAsia="en-AU"/>
        </w:rPr>
        <w:t xml:space="preserve"> payment </w:t>
      </w:r>
      <w:r>
        <w:rPr>
          <w:lang w:eastAsia="en-AU"/>
        </w:rPr>
        <w:t xml:space="preserve">for the </w:t>
      </w:r>
      <w:r w:rsidRPr="00511D1C">
        <w:rPr>
          <w:i/>
          <w:iCs/>
          <w:lang w:eastAsia="en-AU"/>
        </w:rPr>
        <w:t>operating schedule</w:t>
      </w:r>
      <w:r>
        <w:rPr>
          <w:lang w:eastAsia="en-AU"/>
        </w:rPr>
        <w:t xml:space="preserve"> is positive.</w:t>
      </w:r>
    </w:p>
    <w:p w14:paraId="2D2EA5C6" w14:textId="3295BD22" w:rsidR="005854FE" w:rsidRDefault="005854FE" w:rsidP="005854FE">
      <w:pPr>
        <w:pStyle w:val="BodyText"/>
        <w:rPr>
          <w:lang w:eastAsia="en-AU"/>
        </w:rPr>
      </w:pPr>
      <w:r>
        <w:rPr>
          <w:i/>
          <w:iCs/>
          <w:lang w:eastAsia="en-AU"/>
        </w:rPr>
        <w:t xml:space="preserve">Common uplift </w:t>
      </w:r>
      <w:r>
        <w:rPr>
          <w:lang w:eastAsia="en-AU"/>
        </w:rPr>
        <w:t xml:space="preserve">is </w:t>
      </w:r>
      <w:r w:rsidR="7F1B5741" w:rsidRPr="54774606">
        <w:rPr>
          <w:lang w:eastAsia="en-AU"/>
        </w:rPr>
        <w:t>a payment</w:t>
      </w:r>
      <w:r w:rsidR="1D6B3150" w:rsidRPr="54774606">
        <w:rPr>
          <w:lang w:eastAsia="en-AU"/>
        </w:rPr>
        <w:t xml:space="preserve"> </w:t>
      </w:r>
      <w:r>
        <w:rPr>
          <w:lang w:eastAsia="en-AU"/>
        </w:rPr>
        <w:t xml:space="preserve">to </w:t>
      </w:r>
      <w:r w:rsidR="00754ED8">
        <w:rPr>
          <w:lang w:eastAsia="en-AU"/>
        </w:rPr>
        <w:t>a</w:t>
      </w:r>
      <w:r>
        <w:rPr>
          <w:lang w:eastAsia="en-AU"/>
        </w:rPr>
        <w:t xml:space="preserve"> </w:t>
      </w:r>
      <w:r w:rsidR="086DC569" w:rsidRPr="54774606">
        <w:rPr>
          <w:i/>
          <w:iCs/>
          <w:lang w:eastAsia="en-AU"/>
        </w:rPr>
        <w:t>M</w:t>
      </w:r>
      <w:r w:rsidR="1D6B3150" w:rsidRPr="54774606">
        <w:rPr>
          <w:i/>
          <w:iCs/>
          <w:lang w:eastAsia="en-AU"/>
        </w:rPr>
        <w:t xml:space="preserve">arket </w:t>
      </w:r>
      <w:r w:rsidR="2AA7EFE3" w:rsidRPr="54774606">
        <w:rPr>
          <w:i/>
          <w:iCs/>
          <w:lang w:eastAsia="en-AU"/>
        </w:rPr>
        <w:t>P</w:t>
      </w:r>
      <w:r w:rsidR="1D6B3150" w:rsidRPr="54774606">
        <w:rPr>
          <w:i/>
          <w:iCs/>
          <w:lang w:eastAsia="en-AU"/>
        </w:rPr>
        <w:t>articipant</w:t>
      </w:r>
      <w:r>
        <w:rPr>
          <w:lang w:eastAsia="en-AU"/>
        </w:rPr>
        <w:t xml:space="preserve"> if the </w:t>
      </w:r>
      <w:r w:rsidR="009C3335">
        <w:rPr>
          <w:i/>
          <w:iCs/>
          <w:lang w:eastAsia="en-AU"/>
        </w:rPr>
        <w:t>total uplift</w:t>
      </w:r>
      <w:r w:rsidRPr="00FC4B17">
        <w:rPr>
          <w:i/>
          <w:iCs/>
          <w:lang w:eastAsia="en-AU"/>
        </w:rPr>
        <w:t xml:space="preserve"> payment </w:t>
      </w:r>
      <w:r>
        <w:rPr>
          <w:lang w:eastAsia="en-AU"/>
        </w:rPr>
        <w:t xml:space="preserve">for the </w:t>
      </w:r>
      <w:r>
        <w:rPr>
          <w:i/>
          <w:iCs/>
          <w:lang w:eastAsia="en-AU"/>
        </w:rPr>
        <w:t xml:space="preserve">operating </w:t>
      </w:r>
      <w:r w:rsidRPr="00511D1C">
        <w:rPr>
          <w:i/>
          <w:iCs/>
          <w:lang w:eastAsia="en-AU"/>
        </w:rPr>
        <w:t>schedule</w:t>
      </w:r>
      <w:r>
        <w:rPr>
          <w:lang w:eastAsia="en-AU"/>
        </w:rPr>
        <w:t xml:space="preserve"> is negative.</w:t>
      </w:r>
    </w:p>
    <w:p w14:paraId="131AFFFD" w14:textId="63BE5131" w:rsidR="003220F1" w:rsidRDefault="00455127" w:rsidP="00D7654B">
      <w:pPr>
        <w:pStyle w:val="Heading1"/>
      </w:pPr>
      <w:bookmarkStart w:id="23" w:name="_Ref57969602"/>
      <w:bookmarkStart w:id="24" w:name="_Toc62480194"/>
      <w:bookmarkStart w:id="25" w:name="_Ref56689006"/>
      <w:bookmarkStart w:id="26" w:name="_Ref54688985"/>
      <w:r>
        <w:t xml:space="preserve">Uplift </w:t>
      </w:r>
      <w:r w:rsidR="0011192C">
        <w:t>amounts and quantities</w:t>
      </w:r>
      <w:bookmarkEnd w:id="23"/>
      <w:bookmarkEnd w:id="24"/>
    </w:p>
    <w:p w14:paraId="406E3BF5" w14:textId="77777777" w:rsidR="0011192C" w:rsidRDefault="0011192C" w:rsidP="0011192C">
      <w:pPr>
        <w:pStyle w:val="ResetPara"/>
      </w:pPr>
    </w:p>
    <w:p w14:paraId="640F417F" w14:textId="27E0E9FA" w:rsidR="00260743" w:rsidRDefault="00260743" w:rsidP="0011192C">
      <w:pPr>
        <w:pStyle w:val="Heading2"/>
      </w:pPr>
      <w:bookmarkStart w:id="27" w:name="_Toc62480195"/>
      <w:r>
        <w:t>General</w:t>
      </w:r>
      <w:bookmarkEnd w:id="27"/>
    </w:p>
    <w:p w14:paraId="3A6DF5A3" w14:textId="77777777" w:rsidR="000B1D69" w:rsidRDefault="000B1D69" w:rsidP="000B1D69">
      <w:pPr>
        <w:pStyle w:val="ResetPara"/>
      </w:pPr>
    </w:p>
    <w:p w14:paraId="6303DE75" w14:textId="3A5AFF96" w:rsidR="00F13319" w:rsidRDefault="00183F7C" w:rsidP="00F13319">
      <w:pPr>
        <w:pStyle w:val="Lista"/>
      </w:pPr>
      <w:r>
        <w:t xml:space="preserve">The </w:t>
      </w:r>
      <w:r w:rsidRPr="00CA2B84">
        <w:rPr>
          <w:i/>
          <w:iCs/>
        </w:rPr>
        <w:t>uplift payment amounts</w:t>
      </w:r>
      <w:r>
        <w:t xml:space="preserve"> and </w:t>
      </w:r>
      <w:r w:rsidRPr="00CA2B84">
        <w:rPr>
          <w:i/>
          <w:iCs/>
        </w:rPr>
        <w:t>quantities</w:t>
      </w:r>
      <w:r>
        <w:t xml:space="preserve"> for all</w:t>
      </w:r>
      <w:r w:rsidRPr="00CA2B84">
        <w:rPr>
          <w:i/>
          <w:iCs/>
        </w:rPr>
        <w:t xml:space="preserve"> operating schedules</w:t>
      </w:r>
      <w:r>
        <w:t xml:space="preserve"> for </w:t>
      </w:r>
      <w:r w:rsidR="00CA2B84">
        <w:t xml:space="preserve">each </w:t>
      </w:r>
      <w:r w:rsidRPr="00800A29">
        <w:rPr>
          <w:i/>
          <w:iCs/>
        </w:rPr>
        <w:t>gas day</w:t>
      </w:r>
      <w:r>
        <w:t xml:space="preserve"> must be determined </w:t>
      </w:r>
      <w:r w:rsidR="000A7776">
        <w:t xml:space="preserve">by AEMO </w:t>
      </w:r>
      <w:r w:rsidR="007A213D">
        <w:t>after</w:t>
      </w:r>
      <w:r>
        <w:t xml:space="preserve"> </w:t>
      </w:r>
      <w:r w:rsidR="007A213D">
        <w:rPr>
          <w:i/>
          <w:iCs/>
        </w:rPr>
        <w:t>ancillary</w:t>
      </w:r>
      <w:r w:rsidR="007A2685">
        <w:rPr>
          <w:i/>
          <w:iCs/>
        </w:rPr>
        <w:t xml:space="preserve"> payments </w:t>
      </w:r>
      <w:r w:rsidR="00C707A3">
        <w:t xml:space="preserve">for the </w:t>
      </w:r>
      <w:r w:rsidR="00C707A3">
        <w:rPr>
          <w:i/>
          <w:iCs/>
        </w:rPr>
        <w:t xml:space="preserve">gas day </w:t>
      </w:r>
      <w:r w:rsidR="00447964">
        <w:t xml:space="preserve">are </w:t>
      </w:r>
      <w:r w:rsidR="007A2685">
        <w:t xml:space="preserve">determined </w:t>
      </w:r>
      <w:r w:rsidR="00CA2B84">
        <w:t xml:space="preserve">in </w:t>
      </w:r>
      <w:r w:rsidR="00C707A3">
        <w:t xml:space="preserve">accordance with </w:t>
      </w:r>
      <w:r w:rsidR="00CA2B84">
        <w:t xml:space="preserve">the </w:t>
      </w:r>
      <w:r w:rsidR="00CA2B84">
        <w:rPr>
          <w:i/>
          <w:iCs/>
        </w:rPr>
        <w:t>ancillary payment procedure.</w:t>
      </w:r>
    </w:p>
    <w:p w14:paraId="0D440012" w14:textId="0A94BABE" w:rsidR="00486A0F" w:rsidRDefault="003A437D" w:rsidP="00F13319">
      <w:pPr>
        <w:pStyle w:val="Lista"/>
      </w:pPr>
      <w:r>
        <w:lastRenderedPageBreak/>
        <w:t xml:space="preserve">AEMO must apply the algorithm </w:t>
      </w:r>
      <w:r w:rsidR="0006225D">
        <w:t>set out in</w:t>
      </w:r>
      <w:r w:rsidR="00FB22A7">
        <w:t xml:space="preserve"> section</w:t>
      </w:r>
      <w:r w:rsidR="0006225D">
        <w:t xml:space="preserve"> </w:t>
      </w:r>
      <w:r w:rsidR="007C0711">
        <w:rPr>
          <w:color w:val="2B579A"/>
          <w:shd w:val="clear" w:color="auto" w:fill="E6E6E6"/>
        </w:rPr>
        <w:fldChar w:fldCharType="begin"/>
      </w:r>
      <w:r w:rsidR="007C0711">
        <w:instrText xml:space="preserve"> REF _Ref57967283 \n \h </w:instrText>
      </w:r>
      <w:r w:rsidR="007C0711">
        <w:rPr>
          <w:color w:val="2B579A"/>
          <w:shd w:val="clear" w:color="auto" w:fill="E6E6E6"/>
        </w:rPr>
      </w:r>
      <w:r w:rsidR="007C0711">
        <w:rPr>
          <w:color w:val="2B579A"/>
          <w:shd w:val="clear" w:color="auto" w:fill="E6E6E6"/>
        </w:rPr>
        <w:fldChar w:fldCharType="separate"/>
      </w:r>
      <w:r w:rsidR="00BA68AF">
        <w:t>3.2</w:t>
      </w:r>
      <w:r w:rsidR="007C0711">
        <w:rPr>
          <w:color w:val="2B579A"/>
          <w:shd w:val="clear" w:color="auto" w:fill="E6E6E6"/>
        </w:rPr>
        <w:fldChar w:fldCharType="end"/>
      </w:r>
      <w:r w:rsidR="00FB22A7">
        <w:t xml:space="preserve"> </w:t>
      </w:r>
      <w:r w:rsidR="00CC702A">
        <w:t xml:space="preserve">(also </w:t>
      </w:r>
      <w:r>
        <w:t xml:space="preserve">known as the ‘AP flip-flop </w:t>
      </w:r>
      <w:r w:rsidR="007A213D">
        <w:t>algorithm</w:t>
      </w:r>
      <w:r>
        <w:t>’</w:t>
      </w:r>
      <w:r w:rsidR="00CC702A">
        <w:t>)</w:t>
      </w:r>
      <w:r w:rsidR="007C7831">
        <w:t xml:space="preserve"> once the </w:t>
      </w:r>
      <w:r w:rsidR="007A213D">
        <w:rPr>
          <w:i/>
          <w:iCs/>
        </w:rPr>
        <w:t>ancillary</w:t>
      </w:r>
      <w:r w:rsidR="007C7831">
        <w:rPr>
          <w:i/>
          <w:iCs/>
        </w:rPr>
        <w:t xml:space="preserve"> payment</w:t>
      </w:r>
      <w:r w:rsidR="00D37E92">
        <w:rPr>
          <w:i/>
          <w:iCs/>
        </w:rPr>
        <w:t xml:space="preserve"> amounts</w:t>
      </w:r>
      <w:r w:rsidR="007C7831">
        <w:rPr>
          <w:i/>
          <w:iCs/>
        </w:rPr>
        <w:t xml:space="preserve"> </w:t>
      </w:r>
      <w:r w:rsidR="007C7831" w:rsidRPr="007C7831">
        <w:t>have been determined</w:t>
      </w:r>
      <w:r w:rsidR="007C7831">
        <w:rPr>
          <w:i/>
          <w:iCs/>
        </w:rPr>
        <w:t xml:space="preserve"> </w:t>
      </w:r>
      <w:r w:rsidR="00B9010B">
        <w:t xml:space="preserve">for </w:t>
      </w:r>
      <w:r w:rsidR="004F4A49">
        <w:t xml:space="preserve">the </w:t>
      </w:r>
      <w:r w:rsidR="004F4A49">
        <w:rPr>
          <w:i/>
          <w:iCs/>
        </w:rPr>
        <w:t>gas da</w:t>
      </w:r>
      <w:r w:rsidR="009A5E16">
        <w:rPr>
          <w:i/>
          <w:iCs/>
        </w:rPr>
        <w:t>y.</w:t>
      </w:r>
      <w:r w:rsidR="00DC62A1">
        <w:br/>
      </w:r>
    </w:p>
    <w:p w14:paraId="64AFE587" w14:textId="74C03335" w:rsidR="00B1326B" w:rsidRPr="00297322" w:rsidRDefault="00B1326B" w:rsidP="00F13319">
      <w:pPr>
        <w:pStyle w:val="Lista"/>
      </w:pPr>
      <w:r>
        <w:t xml:space="preserve">The </w:t>
      </w:r>
      <w:r w:rsidR="00C06970">
        <w:rPr>
          <w:i/>
          <w:iCs/>
        </w:rPr>
        <w:t xml:space="preserve">uplift payment quantities </w:t>
      </w:r>
      <w:r w:rsidR="009A00AF">
        <w:t xml:space="preserve">are derived from the </w:t>
      </w:r>
      <w:r w:rsidR="009F49E9">
        <w:rPr>
          <w:i/>
          <w:iCs/>
        </w:rPr>
        <w:t xml:space="preserve">uplift payment </w:t>
      </w:r>
      <w:r w:rsidR="003721F1">
        <w:rPr>
          <w:i/>
          <w:iCs/>
        </w:rPr>
        <w:t>amounts,</w:t>
      </w:r>
      <w:r w:rsidR="00177883">
        <w:t xml:space="preserve"> so they also reflect the </w:t>
      </w:r>
      <w:r w:rsidR="008546D4">
        <w:t xml:space="preserve">adjusted </w:t>
      </w:r>
      <w:r w:rsidR="00BA2050" w:rsidRPr="002E1AD3">
        <w:rPr>
          <w:i/>
          <w:iCs/>
        </w:rPr>
        <w:t xml:space="preserve">uplift payment </w:t>
      </w:r>
      <w:r w:rsidR="00626598" w:rsidRPr="002E1AD3">
        <w:rPr>
          <w:i/>
          <w:iCs/>
        </w:rPr>
        <w:t>amounts</w:t>
      </w:r>
      <w:r w:rsidR="002E1AD3">
        <w:t>.</w:t>
      </w:r>
    </w:p>
    <w:p w14:paraId="0827EFB6" w14:textId="786C0BD7" w:rsidR="0011192C" w:rsidRDefault="00FA36DC" w:rsidP="0011192C">
      <w:pPr>
        <w:pStyle w:val="Heading2"/>
      </w:pPr>
      <w:bookmarkStart w:id="28" w:name="_Ref57967283"/>
      <w:bookmarkStart w:id="29" w:name="_Toc62480196"/>
      <w:r>
        <w:t xml:space="preserve">Determining the </w:t>
      </w:r>
      <w:r w:rsidR="00297322">
        <w:t>uplift amount for operating schedules</w:t>
      </w:r>
      <w:bookmarkEnd w:id="28"/>
      <w:bookmarkEnd w:id="29"/>
    </w:p>
    <w:p w14:paraId="5CFA4934" w14:textId="77777777" w:rsidR="00297322" w:rsidRDefault="00297322" w:rsidP="00297322">
      <w:pPr>
        <w:pStyle w:val="ResetPara"/>
      </w:pPr>
    </w:p>
    <w:p w14:paraId="5DB9356A" w14:textId="171DEBEB" w:rsidR="002E1505" w:rsidRDefault="002E1505" w:rsidP="002E1505">
      <w:pPr>
        <w:pStyle w:val="Lista"/>
      </w:pPr>
      <w:r>
        <w:t xml:space="preserve">The total </w:t>
      </w:r>
      <w:r w:rsidRPr="00FA150E">
        <w:rPr>
          <w:i/>
          <w:iCs/>
        </w:rPr>
        <w:t>ancillary payment</w:t>
      </w:r>
      <w:r>
        <w:t xml:space="preserve"> by </w:t>
      </w:r>
      <w:r w:rsidR="00FA150E" w:rsidRPr="00FA150E">
        <w:rPr>
          <w:i/>
          <w:iCs/>
        </w:rPr>
        <w:t xml:space="preserve">operating </w:t>
      </w:r>
      <w:r w:rsidRPr="00FA150E">
        <w:rPr>
          <w:i/>
          <w:iCs/>
        </w:rPr>
        <w:t>schedule</w:t>
      </w:r>
      <w:r>
        <w:t xml:space="preserve"> </w:t>
      </w:r>
      <w:r w:rsidR="005F745A">
        <w:t>must be</w:t>
      </w:r>
      <w:r>
        <w:t xml:space="preserve"> determined </w:t>
      </w:r>
      <w:r w:rsidR="00FA150E">
        <w:t xml:space="preserve">by AEMO </w:t>
      </w:r>
      <w:r>
        <w:t xml:space="preserve">as the sum over all </w:t>
      </w:r>
      <w:r w:rsidR="00804854" w:rsidRPr="00804854">
        <w:rPr>
          <w:i/>
          <w:iCs/>
        </w:rPr>
        <w:t>Market P</w:t>
      </w:r>
      <w:r w:rsidRPr="00804854">
        <w:rPr>
          <w:i/>
          <w:iCs/>
        </w:rPr>
        <w:t>articipants</w:t>
      </w:r>
      <w:r>
        <w:t xml:space="preserve"> of the </w:t>
      </w:r>
      <w:r w:rsidRPr="00804854">
        <w:rPr>
          <w:i/>
          <w:iCs/>
        </w:rPr>
        <w:t>ancillary payment</w:t>
      </w:r>
      <w:r>
        <w:t xml:space="preserve"> to be paid by or to each</w:t>
      </w:r>
      <w:r w:rsidR="00804854" w:rsidRPr="00804854">
        <w:rPr>
          <w:i/>
          <w:iCs/>
        </w:rPr>
        <w:t xml:space="preserve"> Market Participant</w:t>
      </w:r>
      <w:r>
        <w:t xml:space="preserve">, for each </w:t>
      </w:r>
      <w:r w:rsidRPr="00285868">
        <w:rPr>
          <w:i/>
          <w:iCs/>
        </w:rPr>
        <w:t>controllable withdrawal point</w:t>
      </w:r>
      <w:r>
        <w:t xml:space="preserve"> or </w:t>
      </w:r>
      <w:r w:rsidRPr="00285868">
        <w:rPr>
          <w:i/>
          <w:iCs/>
        </w:rPr>
        <w:t>controllable injection point</w:t>
      </w:r>
      <w:r>
        <w:t xml:space="preserve"> for each </w:t>
      </w:r>
      <w:r w:rsidR="00285868">
        <w:t>a</w:t>
      </w:r>
      <w:r w:rsidR="00285868" w:rsidRPr="00285868">
        <w:rPr>
          <w:i/>
          <w:iCs/>
        </w:rPr>
        <w:t xml:space="preserve">djusted </w:t>
      </w:r>
      <w:r w:rsidRPr="00285868">
        <w:rPr>
          <w:i/>
          <w:iCs/>
        </w:rPr>
        <w:t>bid step</w:t>
      </w:r>
      <w:r>
        <w:t xml:space="preserve"> for that </w:t>
      </w:r>
      <w:r w:rsidR="00285868" w:rsidRPr="00285868">
        <w:rPr>
          <w:i/>
          <w:iCs/>
        </w:rPr>
        <w:t xml:space="preserve">operating </w:t>
      </w:r>
      <w:r w:rsidRPr="00285868">
        <w:rPr>
          <w:i/>
          <w:iCs/>
        </w:rPr>
        <w:t>schedule</w:t>
      </w:r>
      <w:r w:rsidR="0026521F">
        <w:t xml:space="preserve"> as determined under the </w:t>
      </w:r>
      <w:r w:rsidR="0026521F">
        <w:rPr>
          <w:i/>
          <w:iCs/>
        </w:rPr>
        <w:t>ancillary payment procedures.</w:t>
      </w:r>
    </w:p>
    <w:p w14:paraId="2542F9C1" w14:textId="7F8F1BE0" w:rsidR="002E1505" w:rsidRDefault="002E1505" w:rsidP="002E1505">
      <w:pPr>
        <w:pStyle w:val="ListContinue3"/>
        <w:ind w:left="1276"/>
      </w:pPr>
      <w:r>
        <w:t xml:space="preserve">For schedule s </w:t>
      </w:r>
      <w:r w:rsidR="00991CE5">
        <w:t xml:space="preserve">the total </w:t>
      </w:r>
      <w:r w:rsidR="00991CE5">
        <w:rPr>
          <w:i/>
          <w:iCs/>
        </w:rPr>
        <w:t>ancillary payment</w:t>
      </w:r>
      <w:r>
        <w:t xml:space="preserve"> is calculated as follows.</w:t>
      </w:r>
    </w:p>
    <w:p w14:paraId="15741737" w14:textId="4E032EA1" w:rsidR="002E1505" w:rsidRDefault="002E1505" w:rsidP="002E1505">
      <w:pPr>
        <w:pStyle w:val="ListContinue3"/>
        <w:ind w:left="1276"/>
      </w:pPr>
      <w:r>
        <w:t>TAP</w:t>
      </w:r>
      <w:r w:rsidRPr="001B5EB4">
        <w:rPr>
          <w:vertAlign w:val="subscript"/>
        </w:rPr>
        <w:t>s</w:t>
      </w:r>
      <w:r>
        <w:t xml:space="preserve"> </w:t>
      </w:r>
      <w:r w:rsidR="001D5BD7">
        <w:tab/>
      </w:r>
      <w:r w:rsidR="00332F14">
        <w:tab/>
      </w:r>
      <w:r>
        <w:t>= ITAP</w:t>
      </w:r>
      <w:r w:rsidRPr="001B5EB4">
        <w:rPr>
          <w:vertAlign w:val="subscript"/>
        </w:rPr>
        <w:t>s</w:t>
      </w:r>
      <w:r>
        <w:t xml:space="preserve"> + WTAP</w:t>
      </w:r>
      <w:r w:rsidRPr="001B5EB4">
        <w:rPr>
          <w:vertAlign w:val="subscript"/>
        </w:rPr>
        <w:t>s</w:t>
      </w:r>
      <w:r>
        <w:t xml:space="preserve"> </w:t>
      </w:r>
    </w:p>
    <w:p w14:paraId="21AB5201" w14:textId="77777777" w:rsidR="002E1505" w:rsidRDefault="002E1505" w:rsidP="002E1505">
      <w:pPr>
        <w:pStyle w:val="ListContinue3"/>
        <w:ind w:left="1276"/>
      </w:pPr>
      <w:r>
        <w:t>where</w:t>
      </w:r>
    </w:p>
    <w:p w14:paraId="317233BD" w14:textId="063BE522" w:rsidR="00674653" w:rsidRDefault="002E1505" w:rsidP="002E1505">
      <w:pPr>
        <w:pStyle w:val="ListContinue3"/>
        <w:ind w:left="1276"/>
      </w:pPr>
      <w:r>
        <w:t>ITAP</w:t>
      </w:r>
      <w:r w:rsidR="00B15A4B" w:rsidRPr="00B15A4B">
        <w:rPr>
          <w:vertAlign w:val="subscript"/>
        </w:rPr>
        <w:t>s</w:t>
      </w:r>
      <w:r>
        <w:t xml:space="preserve"> </w:t>
      </w:r>
      <w:r w:rsidR="001D5BD7">
        <w:tab/>
      </w:r>
      <w:r w:rsidR="00332F14">
        <w:tab/>
      </w:r>
      <w:r>
        <w:t xml:space="preserve">= </w:t>
      </w:r>
      <w:r w:rsidR="00785AB5">
        <w:rPr>
          <w:rFonts w:ascii="Symbol" w:eastAsia="Symbol" w:hAnsi="Symbol" w:cs="Symbol"/>
        </w:rPr>
        <w:t>S</w:t>
      </w:r>
      <w:r w:rsidRPr="001E39D9">
        <w:rPr>
          <w:vertAlign w:val="subscript"/>
        </w:rPr>
        <w:t>x,point,s,astep</w:t>
      </w:r>
      <w:r>
        <w:t xml:space="preserve"> AP</w:t>
      </w:r>
      <w:r w:rsidRPr="00B04406">
        <w:rPr>
          <w:vertAlign w:val="subscript"/>
        </w:rPr>
        <w:t>(x,point,s,astep)</w:t>
      </w:r>
      <w:r>
        <w:t xml:space="preserve"> </w:t>
      </w:r>
    </w:p>
    <w:p w14:paraId="4475AC9B" w14:textId="0A654CC1" w:rsidR="002E1505" w:rsidRPr="00502E8D" w:rsidRDefault="002E1505" w:rsidP="00332F14">
      <w:pPr>
        <w:pStyle w:val="ListContinue3"/>
        <w:ind w:left="3119"/>
      </w:pPr>
      <w:r>
        <w:t>where AP</w:t>
      </w:r>
      <w:r w:rsidRPr="001B5EB4">
        <w:rPr>
          <w:vertAlign w:val="subscript"/>
        </w:rPr>
        <w:t>(x,point,s,astep)</w:t>
      </w:r>
      <w:r>
        <w:t xml:space="preserve"> </w:t>
      </w:r>
      <w:r w:rsidR="00885641">
        <w:t xml:space="preserve">is the final </w:t>
      </w:r>
      <w:r w:rsidR="0079535F">
        <w:t xml:space="preserve">injection </w:t>
      </w:r>
      <w:r w:rsidR="0079535F">
        <w:rPr>
          <w:i/>
          <w:iCs/>
        </w:rPr>
        <w:t xml:space="preserve">ancillary payment </w:t>
      </w:r>
      <w:r w:rsidR="003A464B">
        <w:rPr>
          <w:i/>
          <w:iCs/>
        </w:rPr>
        <w:t xml:space="preserve">amount </w:t>
      </w:r>
      <w:r w:rsidR="00DA7483">
        <w:t xml:space="preserve">for </w:t>
      </w:r>
      <w:r w:rsidR="00DA7483">
        <w:rPr>
          <w:i/>
          <w:iCs/>
        </w:rPr>
        <w:t>Mark</w:t>
      </w:r>
      <w:r w:rsidR="008D14F2">
        <w:rPr>
          <w:i/>
          <w:iCs/>
        </w:rPr>
        <w:t>e</w:t>
      </w:r>
      <w:r w:rsidR="00DA7483">
        <w:rPr>
          <w:i/>
          <w:iCs/>
        </w:rPr>
        <w:t xml:space="preserve">t </w:t>
      </w:r>
      <w:r w:rsidR="006E2073">
        <w:rPr>
          <w:i/>
          <w:iCs/>
        </w:rPr>
        <w:t>Participant</w:t>
      </w:r>
      <w:r w:rsidR="008D14F2">
        <w:rPr>
          <w:i/>
          <w:iCs/>
        </w:rPr>
        <w:t xml:space="preserve"> </w:t>
      </w:r>
      <w:r w:rsidR="008D14F2">
        <w:t>x</w:t>
      </w:r>
      <w:r w:rsidR="00273469">
        <w:t xml:space="preserve"> at </w:t>
      </w:r>
      <w:r w:rsidR="00273469">
        <w:rPr>
          <w:i/>
          <w:iCs/>
        </w:rPr>
        <w:t xml:space="preserve">controllable injection point </w:t>
      </w:r>
      <w:r w:rsidR="00C36F78">
        <w:t>‘</w:t>
      </w:r>
      <w:r w:rsidR="0077103B">
        <w:t>point’</w:t>
      </w:r>
      <w:r w:rsidR="00946AD8">
        <w:t xml:space="preserve"> and </w:t>
      </w:r>
      <w:r w:rsidR="00946AD8" w:rsidRPr="00946AD8">
        <w:rPr>
          <w:i/>
          <w:iCs/>
        </w:rPr>
        <w:t>adjusted bid step</w:t>
      </w:r>
      <w:r w:rsidR="00E43677">
        <w:t xml:space="preserve"> ‘</w:t>
      </w:r>
      <w:r w:rsidR="006E2073">
        <w:t>a step</w:t>
      </w:r>
      <w:r w:rsidR="00E43677">
        <w:t>’</w:t>
      </w:r>
      <w:r w:rsidR="00C36F78">
        <w:t xml:space="preserve">, </w:t>
      </w:r>
      <w:r w:rsidR="00EB4752">
        <w:t xml:space="preserve">for </w:t>
      </w:r>
      <w:r w:rsidR="00EB4752">
        <w:rPr>
          <w:i/>
          <w:iCs/>
        </w:rPr>
        <w:t xml:space="preserve">operating schedule </w:t>
      </w:r>
      <w:r w:rsidR="00EB4752">
        <w:t>s</w:t>
      </w:r>
      <w:r w:rsidR="00263881">
        <w:t xml:space="preserve"> as determined under </w:t>
      </w:r>
      <w:r w:rsidR="00502E8D">
        <w:rPr>
          <w:i/>
          <w:iCs/>
        </w:rPr>
        <w:t xml:space="preserve">ancillary payment procedures </w:t>
      </w:r>
      <w:r w:rsidR="00502E8D">
        <w:t xml:space="preserve">section </w:t>
      </w:r>
      <w:r w:rsidR="00D4264F">
        <w:t>7.4.</w:t>
      </w:r>
    </w:p>
    <w:p w14:paraId="5AEF6374" w14:textId="0D7522A2" w:rsidR="004F1772" w:rsidRDefault="004F1772" w:rsidP="004F1772">
      <w:pPr>
        <w:pStyle w:val="ListContinue3"/>
        <w:ind w:left="1276"/>
      </w:pPr>
      <w:r>
        <w:t>WTAP</w:t>
      </w:r>
      <w:r w:rsidRPr="00B15A4B">
        <w:rPr>
          <w:vertAlign w:val="subscript"/>
        </w:rPr>
        <w:t>s</w:t>
      </w:r>
      <w:r>
        <w:t xml:space="preserve"> </w:t>
      </w:r>
      <w:r w:rsidR="001D5BD7">
        <w:tab/>
      </w:r>
      <w:r w:rsidR="00332F14">
        <w:tab/>
      </w:r>
      <w:r>
        <w:t xml:space="preserve">= </w:t>
      </w:r>
      <w:r>
        <w:rPr>
          <w:rFonts w:ascii="Symbol" w:eastAsia="Symbol" w:hAnsi="Symbol" w:cs="Symbol"/>
        </w:rPr>
        <w:t>S</w:t>
      </w:r>
      <w:r w:rsidRPr="001E39D9">
        <w:rPr>
          <w:vertAlign w:val="subscript"/>
        </w:rPr>
        <w:t>x,point,s,astep</w:t>
      </w:r>
      <w:r>
        <w:t xml:space="preserve"> AP</w:t>
      </w:r>
      <w:r w:rsidRPr="00B04406">
        <w:rPr>
          <w:vertAlign w:val="subscript"/>
        </w:rPr>
        <w:t>(x,point,s,astep)</w:t>
      </w:r>
      <w:r>
        <w:t xml:space="preserve"> </w:t>
      </w:r>
    </w:p>
    <w:p w14:paraId="2CC743EA" w14:textId="7DB4495E" w:rsidR="004F1772" w:rsidRDefault="004F1772" w:rsidP="00332F14">
      <w:pPr>
        <w:pStyle w:val="ListContinue3"/>
        <w:ind w:left="3119"/>
      </w:pPr>
      <w:r>
        <w:t>where AP</w:t>
      </w:r>
      <w:r w:rsidRPr="001B5EB4">
        <w:rPr>
          <w:vertAlign w:val="subscript"/>
        </w:rPr>
        <w:t>(x,point,s,astep)</w:t>
      </w:r>
      <w:r>
        <w:t xml:space="preserve"> is the final </w:t>
      </w:r>
      <w:r w:rsidR="00DB79D0">
        <w:t>withdrawal</w:t>
      </w:r>
      <w:r>
        <w:t xml:space="preserve"> </w:t>
      </w:r>
      <w:r>
        <w:rPr>
          <w:i/>
          <w:iCs/>
        </w:rPr>
        <w:t xml:space="preserve">ancillary payment amount </w:t>
      </w:r>
      <w:r>
        <w:t xml:space="preserve">for </w:t>
      </w:r>
      <w:r>
        <w:rPr>
          <w:i/>
          <w:iCs/>
        </w:rPr>
        <w:t xml:space="preserve">Market </w:t>
      </w:r>
      <w:r w:rsidR="00816093">
        <w:rPr>
          <w:i/>
          <w:iCs/>
        </w:rPr>
        <w:t>Participant</w:t>
      </w:r>
      <w:r>
        <w:rPr>
          <w:i/>
          <w:iCs/>
        </w:rPr>
        <w:t xml:space="preserve"> </w:t>
      </w:r>
      <w:r>
        <w:t xml:space="preserve">x at </w:t>
      </w:r>
      <w:r>
        <w:rPr>
          <w:i/>
          <w:iCs/>
        </w:rPr>
        <w:t xml:space="preserve">controllable </w:t>
      </w:r>
      <w:r w:rsidR="007218E7">
        <w:rPr>
          <w:i/>
          <w:iCs/>
        </w:rPr>
        <w:t>withdrawal</w:t>
      </w:r>
      <w:r>
        <w:rPr>
          <w:i/>
          <w:iCs/>
        </w:rPr>
        <w:t xml:space="preserve"> point </w:t>
      </w:r>
      <w:r>
        <w:t xml:space="preserve">‘point’ and </w:t>
      </w:r>
      <w:r w:rsidRPr="00946AD8">
        <w:rPr>
          <w:i/>
          <w:iCs/>
        </w:rPr>
        <w:t>adjusted bid step</w:t>
      </w:r>
      <w:r>
        <w:t xml:space="preserve"> ‘</w:t>
      </w:r>
      <w:r w:rsidR="00816093">
        <w:t>a step</w:t>
      </w:r>
      <w:r>
        <w:t xml:space="preserve">’, for </w:t>
      </w:r>
      <w:r>
        <w:rPr>
          <w:i/>
          <w:iCs/>
        </w:rPr>
        <w:t xml:space="preserve">operating schedule </w:t>
      </w:r>
      <w:r>
        <w:t xml:space="preserve">s as determined under </w:t>
      </w:r>
      <w:r>
        <w:rPr>
          <w:i/>
          <w:iCs/>
        </w:rPr>
        <w:t xml:space="preserve">ancillary payment procedures </w:t>
      </w:r>
      <w:r>
        <w:t>section 7.</w:t>
      </w:r>
      <w:r w:rsidR="00575CC9">
        <w:t>5</w:t>
      </w:r>
      <w:r>
        <w:t>.</w:t>
      </w:r>
    </w:p>
    <w:p w14:paraId="0A0F814E" w14:textId="77777777" w:rsidR="0072510C" w:rsidRDefault="0072510C" w:rsidP="004F1772">
      <w:pPr>
        <w:pStyle w:val="ListContinue3"/>
        <w:ind w:left="1985"/>
      </w:pPr>
    </w:p>
    <w:p w14:paraId="43A085D3" w14:textId="17719149" w:rsidR="00113846" w:rsidRDefault="00113846" w:rsidP="00113846">
      <w:pPr>
        <w:pStyle w:val="Lista"/>
      </w:pPr>
      <w:r>
        <w:t xml:space="preserve">The total adjusted </w:t>
      </w:r>
      <w:r w:rsidRPr="00D80816">
        <w:rPr>
          <w:i/>
          <w:iCs/>
        </w:rPr>
        <w:t>ancillary payment</w:t>
      </w:r>
      <w:r>
        <w:t xml:space="preserve"> associated with each </w:t>
      </w:r>
      <w:r w:rsidR="00240C66" w:rsidRPr="00240C66">
        <w:rPr>
          <w:i/>
          <w:iCs/>
        </w:rPr>
        <w:t xml:space="preserve">operating </w:t>
      </w:r>
      <w:r w:rsidRPr="00240C66">
        <w:rPr>
          <w:i/>
          <w:iCs/>
        </w:rPr>
        <w:t>schedule</w:t>
      </w:r>
      <w:r>
        <w:t xml:space="preserve"> must be determined </w:t>
      </w:r>
      <w:r w:rsidR="004A174A">
        <w:t xml:space="preserve">by AEMO </w:t>
      </w:r>
      <w:r>
        <w:t xml:space="preserve">for each </w:t>
      </w:r>
      <w:r w:rsidR="00240C66" w:rsidRPr="00240C66">
        <w:rPr>
          <w:i/>
          <w:iCs/>
        </w:rPr>
        <w:t xml:space="preserve">operating </w:t>
      </w:r>
      <w:r w:rsidRPr="00240C66">
        <w:rPr>
          <w:i/>
          <w:iCs/>
        </w:rPr>
        <w:t>schedule</w:t>
      </w:r>
      <w:r>
        <w:t xml:space="preserve"> </w:t>
      </w:r>
      <w:r w:rsidR="00240C66">
        <w:t xml:space="preserve">s </w:t>
      </w:r>
      <w:r>
        <w:t xml:space="preserve">in turn starting with the first </w:t>
      </w:r>
      <w:r w:rsidR="00240C66" w:rsidRPr="00240C66">
        <w:rPr>
          <w:i/>
          <w:iCs/>
        </w:rPr>
        <w:t xml:space="preserve">operating </w:t>
      </w:r>
      <w:r w:rsidRPr="00240C66">
        <w:rPr>
          <w:i/>
          <w:iCs/>
        </w:rPr>
        <w:t>schedule</w:t>
      </w:r>
      <w:r>
        <w:t xml:space="preserve"> (s=1) and then iterating to the last</w:t>
      </w:r>
      <w:r w:rsidRPr="00240C66">
        <w:rPr>
          <w:i/>
          <w:iCs/>
        </w:rPr>
        <w:t xml:space="preserve"> </w:t>
      </w:r>
      <w:r w:rsidR="00240C66" w:rsidRPr="00240C66">
        <w:rPr>
          <w:i/>
          <w:iCs/>
        </w:rPr>
        <w:t xml:space="preserve">operating </w:t>
      </w:r>
      <w:r w:rsidRPr="00240C66">
        <w:rPr>
          <w:i/>
          <w:iCs/>
        </w:rPr>
        <w:t>schedule</w:t>
      </w:r>
      <w:r>
        <w:t xml:space="preserve"> (s=5)</w:t>
      </w:r>
      <w:r w:rsidR="00223A60">
        <w:t xml:space="preserve"> for the same </w:t>
      </w:r>
      <w:r w:rsidR="00223A60" w:rsidRPr="00223A60">
        <w:rPr>
          <w:i/>
          <w:iCs/>
        </w:rPr>
        <w:t>gas day</w:t>
      </w:r>
      <w:r>
        <w:t xml:space="preserve">.  Positive </w:t>
      </w:r>
      <w:r w:rsidRPr="0078750C">
        <w:rPr>
          <w:i/>
          <w:iCs/>
        </w:rPr>
        <w:t>total ancillary payments</w:t>
      </w:r>
      <w:r>
        <w:t xml:space="preserve"> at one </w:t>
      </w:r>
      <w:r w:rsidR="0057575D" w:rsidRPr="0057575D">
        <w:rPr>
          <w:i/>
          <w:iCs/>
        </w:rPr>
        <w:t xml:space="preserve">operating </w:t>
      </w:r>
      <w:r w:rsidRPr="0057575D">
        <w:rPr>
          <w:i/>
          <w:iCs/>
        </w:rPr>
        <w:t>schedule</w:t>
      </w:r>
      <w:r>
        <w:t xml:space="preserve"> will be offset with negative </w:t>
      </w:r>
      <w:r w:rsidRPr="0078750C">
        <w:rPr>
          <w:i/>
          <w:iCs/>
        </w:rPr>
        <w:t>total ancillary payments</w:t>
      </w:r>
      <w:r>
        <w:t xml:space="preserve"> at another schedule.</w:t>
      </w:r>
    </w:p>
    <w:p w14:paraId="003AC5AD" w14:textId="77777777" w:rsidR="00113846" w:rsidRDefault="00113846" w:rsidP="006C51EC">
      <w:pPr>
        <w:pStyle w:val="ListContinue3"/>
        <w:ind w:left="1276"/>
      </w:pPr>
      <w:r>
        <w:t xml:space="preserve">For each schedule s </w:t>
      </w:r>
    </w:p>
    <w:p w14:paraId="69BE1F0A" w14:textId="37565D20" w:rsidR="00113846" w:rsidRDefault="00113846" w:rsidP="00DD108A">
      <w:pPr>
        <w:pStyle w:val="Listi"/>
      </w:pPr>
      <w:r>
        <w:t>if s=1 or the total a</w:t>
      </w:r>
      <w:r w:rsidRPr="00991CE5">
        <w:rPr>
          <w:i/>
          <w:iCs/>
        </w:rPr>
        <w:t>ncillary payment</w:t>
      </w:r>
      <w:r>
        <w:t xml:space="preserve"> for </w:t>
      </w:r>
      <w:r w:rsidR="00991CE5" w:rsidRPr="00991CE5">
        <w:rPr>
          <w:i/>
          <w:iCs/>
        </w:rPr>
        <w:t xml:space="preserve">operating </w:t>
      </w:r>
      <w:r w:rsidRPr="00991CE5">
        <w:rPr>
          <w:i/>
          <w:iCs/>
        </w:rPr>
        <w:t>schedule</w:t>
      </w:r>
      <w:r>
        <w:t xml:space="preserve"> s&gt;1 is greater than or equal to zero</w:t>
      </w:r>
      <w:r w:rsidR="00A774C4">
        <w:t>,</w:t>
      </w:r>
      <w:r>
        <w:t xml:space="preserve"> then the total adjusted </w:t>
      </w:r>
      <w:r w:rsidRPr="00A774C4">
        <w:rPr>
          <w:i/>
          <w:iCs/>
        </w:rPr>
        <w:t>ancillary payment</w:t>
      </w:r>
      <w:r>
        <w:t xml:space="preserve"> for </w:t>
      </w:r>
      <w:r w:rsidR="00A774C4" w:rsidRPr="00A774C4">
        <w:rPr>
          <w:i/>
          <w:iCs/>
        </w:rPr>
        <w:t xml:space="preserve">operating </w:t>
      </w:r>
      <w:r w:rsidRPr="00A774C4">
        <w:rPr>
          <w:i/>
          <w:iCs/>
        </w:rPr>
        <w:t>schedule</w:t>
      </w:r>
      <w:r>
        <w:t xml:space="preserve"> s is set to the maximum of zero and minimum over all </w:t>
      </w:r>
      <w:r w:rsidR="00A774C4" w:rsidRPr="00A774C4">
        <w:rPr>
          <w:i/>
          <w:iCs/>
        </w:rPr>
        <w:t xml:space="preserve">operating </w:t>
      </w:r>
      <w:r w:rsidRPr="00A774C4">
        <w:rPr>
          <w:i/>
          <w:iCs/>
        </w:rPr>
        <w:t>schedules</w:t>
      </w:r>
      <w:r>
        <w:t xml:space="preserve"> s’ from </w:t>
      </w:r>
      <w:r w:rsidR="00A774C4" w:rsidRPr="00A774C4">
        <w:rPr>
          <w:i/>
          <w:iCs/>
        </w:rPr>
        <w:t xml:space="preserve">operating </w:t>
      </w:r>
      <w:r w:rsidRPr="00A774C4">
        <w:rPr>
          <w:i/>
          <w:iCs/>
        </w:rPr>
        <w:t>schedule</w:t>
      </w:r>
      <w:r>
        <w:t xml:space="preserve"> s to </w:t>
      </w:r>
      <w:r w:rsidR="00A774C4">
        <w:rPr>
          <w:i/>
          <w:iCs/>
        </w:rPr>
        <w:t xml:space="preserve">operating </w:t>
      </w:r>
      <w:r w:rsidRPr="00A774C4">
        <w:rPr>
          <w:i/>
          <w:iCs/>
        </w:rPr>
        <w:t>schedule</w:t>
      </w:r>
      <w:r>
        <w:t xml:space="preserve"> 5 of the sum over all </w:t>
      </w:r>
      <w:r w:rsidR="00D270A3">
        <w:rPr>
          <w:i/>
          <w:iCs/>
        </w:rPr>
        <w:t xml:space="preserve">operating </w:t>
      </w:r>
      <w:r w:rsidRPr="00776821">
        <w:rPr>
          <w:i/>
          <w:iCs/>
        </w:rPr>
        <w:t>schedules</w:t>
      </w:r>
      <w:r>
        <w:t xml:space="preserve"> s” from </w:t>
      </w:r>
      <w:r w:rsidR="000636A5">
        <w:rPr>
          <w:i/>
          <w:iCs/>
        </w:rPr>
        <w:t xml:space="preserve">operating </w:t>
      </w:r>
      <w:r w:rsidRPr="0018517F">
        <w:rPr>
          <w:i/>
          <w:iCs/>
        </w:rPr>
        <w:t>schedule</w:t>
      </w:r>
      <w:r>
        <w:t xml:space="preserve"> s to </w:t>
      </w:r>
      <w:r w:rsidR="00AD4826">
        <w:rPr>
          <w:i/>
          <w:iCs/>
        </w:rPr>
        <w:t xml:space="preserve">operating </w:t>
      </w:r>
      <w:r w:rsidRPr="00DF0749">
        <w:rPr>
          <w:i/>
          <w:iCs/>
        </w:rPr>
        <w:t>schedule</w:t>
      </w:r>
      <w:r>
        <w:t xml:space="preserve"> s’ of the total </w:t>
      </w:r>
      <w:r w:rsidRPr="00DF0749">
        <w:rPr>
          <w:i/>
          <w:iCs/>
        </w:rPr>
        <w:t>ancillary payments</w:t>
      </w:r>
      <w:r>
        <w:t xml:space="preserve"> for those </w:t>
      </w:r>
      <w:r w:rsidR="00DF0749">
        <w:rPr>
          <w:i/>
          <w:iCs/>
        </w:rPr>
        <w:t>operating schedules</w:t>
      </w:r>
      <w:r>
        <w:t>.  This is calculated as follows:</w:t>
      </w:r>
    </w:p>
    <w:p w14:paraId="3DB9AE62" w14:textId="080D0E0E" w:rsidR="00113846" w:rsidRPr="00AA3A5C" w:rsidRDefault="00113846" w:rsidP="000C5333">
      <w:pPr>
        <w:pStyle w:val="ListContinue3"/>
        <w:ind w:left="1843"/>
        <w:rPr>
          <w:sz w:val="22"/>
          <w:szCs w:val="26"/>
        </w:rPr>
      </w:pPr>
      <w:r>
        <w:t>TAAP</w:t>
      </w:r>
      <w:r w:rsidR="000C0FBA" w:rsidRPr="000C0FBA">
        <w:rPr>
          <w:vertAlign w:val="subscript"/>
        </w:rPr>
        <w:t>s</w:t>
      </w:r>
      <w:r>
        <w:t xml:space="preserve"> </w:t>
      </w:r>
      <w:r w:rsidR="001D5BD7">
        <w:tab/>
      </w:r>
      <w:r>
        <w:t>= Max</w:t>
      </w:r>
      <w:r w:rsidR="00AA3A5C">
        <w:t xml:space="preserve"> {</w:t>
      </w:r>
      <w:r>
        <w:t>0,</w:t>
      </w:r>
      <w:r w:rsidR="00ED0CBA">
        <w:t xml:space="preserve"> </w:t>
      </w:r>
      <w:r>
        <w:t>Min</w:t>
      </w:r>
      <w:r w:rsidR="00D91C6B">
        <w:t xml:space="preserve"> </w:t>
      </w:r>
      <w:r w:rsidR="00AA3A5C">
        <w:t>[</w:t>
      </w:r>
      <w:r>
        <w:t>(</w:t>
      </w:r>
      <w:r w:rsidR="00964273">
        <w:rPr>
          <w:rFonts w:ascii="Symbol" w:eastAsia="Symbol" w:hAnsi="Symbol" w:cs="Symbol"/>
        </w:rPr>
        <w:t>S</w:t>
      </w:r>
      <w:r w:rsidRPr="00964273">
        <w:rPr>
          <w:vertAlign w:val="subscript"/>
        </w:rPr>
        <w:t>s”=s to s’</w:t>
      </w:r>
      <w:r>
        <w:t xml:space="preserve"> TAP</w:t>
      </w:r>
      <w:r w:rsidRPr="00964273">
        <w:rPr>
          <w:vertAlign w:val="subscript"/>
        </w:rPr>
        <w:t>s”</w:t>
      </w:r>
      <w:r>
        <w:t>)</w:t>
      </w:r>
      <w:r w:rsidR="00AC773D" w:rsidRPr="00AC773D">
        <w:t xml:space="preserve"> </w:t>
      </w:r>
      <w:r w:rsidR="00AC773D">
        <w:t xml:space="preserve">for </w:t>
      </w:r>
      <w:r w:rsidR="00AC773D" w:rsidRPr="000E3C40">
        <w:t>s’=s to 5</w:t>
      </w:r>
      <w:r w:rsidR="00A07A60">
        <w:t>]</w:t>
      </w:r>
      <w:r w:rsidR="00AA3A5C">
        <w:rPr>
          <w:sz w:val="22"/>
          <w:szCs w:val="26"/>
        </w:rPr>
        <w:t>}</w:t>
      </w:r>
    </w:p>
    <w:p w14:paraId="1763AF1C" w14:textId="6E1BD1A3" w:rsidR="00113846" w:rsidRDefault="00113846" w:rsidP="00256CF9">
      <w:pPr>
        <w:pStyle w:val="Listi"/>
      </w:pPr>
      <w:r>
        <w:t xml:space="preserve">if s&gt;1 and the total </w:t>
      </w:r>
      <w:r w:rsidRPr="000035F0">
        <w:rPr>
          <w:i/>
          <w:iCs/>
        </w:rPr>
        <w:t xml:space="preserve">ancillary payment </w:t>
      </w:r>
      <w:r>
        <w:t xml:space="preserve">for </w:t>
      </w:r>
      <w:r w:rsidR="00BD447F" w:rsidRPr="00991CE5">
        <w:rPr>
          <w:i/>
          <w:iCs/>
        </w:rPr>
        <w:t>operating schedule</w:t>
      </w:r>
      <w:r w:rsidR="00BD447F">
        <w:t xml:space="preserve"> </w:t>
      </w:r>
      <w:r>
        <w:t xml:space="preserve">s is less than zero then the total adjusted </w:t>
      </w:r>
      <w:r w:rsidRPr="000035F0">
        <w:rPr>
          <w:i/>
          <w:iCs/>
        </w:rPr>
        <w:t>ancillary payment</w:t>
      </w:r>
      <w:r>
        <w:t xml:space="preserve"> for </w:t>
      </w:r>
      <w:r w:rsidR="00BD447F" w:rsidRPr="00991CE5">
        <w:rPr>
          <w:i/>
          <w:iCs/>
        </w:rPr>
        <w:t>operating schedule</w:t>
      </w:r>
      <w:r w:rsidR="00BD447F">
        <w:t xml:space="preserve"> </w:t>
      </w:r>
      <w:r>
        <w:t>s is set to the minimum of zero and the total</w:t>
      </w:r>
      <w:r w:rsidRPr="000035F0">
        <w:rPr>
          <w:i/>
          <w:iCs/>
        </w:rPr>
        <w:t xml:space="preserve"> ancillary payment</w:t>
      </w:r>
      <w:r>
        <w:t xml:space="preserve"> for </w:t>
      </w:r>
      <w:r w:rsidR="00BD447F" w:rsidRPr="00991CE5">
        <w:rPr>
          <w:i/>
          <w:iCs/>
        </w:rPr>
        <w:t>operating schedule</w:t>
      </w:r>
      <w:r w:rsidR="00BD447F">
        <w:t xml:space="preserve"> </w:t>
      </w:r>
      <w:r>
        <w:t xml:space="preserve">s plus the sum over all </w:t>
      </w:r>
      <w:r w:rsidR="00BD447F" w:rsidRPr="00991CE5">
        <w:rPr>
          <w:i/>
          <w:iCs/>
        </w:rPr>
        <w:t>operating schedule</w:t>
      </w:r>
      <w:r w:rsidR="00BD447F">
        <w:t xml:space="preserve"> </w:t>
      </w:r>
      <w:r>
        <w:t xml:space="preserve">s’  from </w:t>
      </w:r>
      <w:r w:rsidR="00BD447F" w:rsidRPr="00991CE5">
        <w:rPr>
          <w:i/>
          <w:iCs/>
        </w:rPr>
        <w:t>operating schedule</w:t>
      </w:r>
      <w:r w:rsidR="00BD447F">
        <w:t xml:space="preserve"> </w:t>
      </w:r>
      <w:r>
        <w:t xml:space="preserve">1 to </w:t>
      </w:r>
      <w:r w:rsidR="00BD447F" w:rsidRPr="00991CE5">
        <w:rPr>
          <w:i/>
          <w:iCs/>
        </w:rPr>
        <w:t>operating schedule</w:t>
      </w:r>
      <w:r w:rsidR="00BD447F">
        <w:t xml:space="preserve"> </w:t>
      </w:r>
      <w:r>
        <w:t>s-1 of TAP(s’) minus TAAP(s’).</w:t>
      </w:r>
    </w:p>
    <w:p w14:paraId="66417FEA" w14:textId="42CE94DA" w:rsidR="00113846" w:rsidRDefault="00113846" w:rsidP="00256CF9">
      <w:pPr>
        <w:pStyle w:val="ListContinue3"/>
        <w:ind w:left="1843"/>
      </w:pPr>
      <w:r>
        <w:t>TAAP</w:t>
      </w:r>
      <w:r w:rsidR="00475A4B">
        <w:rPr>
          <w:vertAlign w:val="subscript"/>
        </w:rPr>
        <w:t>s</w:t>
      </w:r>
      <w:r>
        <w:t xml:space="preserve"> </w:t>
      </w:r>
      <w:r w:rsidR="00653592">
        <w:tab/>
      </w:r>
      <w:r>
        <w:t>=</w:t>
      </w:r>
      <w:r w:rsidR="00CC64EA">
        <w:t xml:space="preserve"> </w:t>
      </w:r>
      <w:r>
        <w:t>Min</w:t>
      </w:r>
      <w:r w:rsidR="000035F0">
        <w:t xml:space="preserve"> {</w:t>
      </w:r>
      <w:r>
        <w:t>0,</w:t>
      </w:r>
      <w:r w:rsidR="000035F0">
        <w:t xml:space="preserve"> </w:t>
      </w:r>
      <w:r w:rsidR="00EA2E42">
        <w:t>[</w:t>
      </w:r>
      <w:r>
        <w:t>TAP</w:t>
      </w:r>
      <w:r w:rsidR="00475A4B" w:rsidRPr="00475A4B">
        <w:rPr>
          <w:vertAlign w:val="subscript"/>
        </w:rPr>
        <w:t xml:space="preserve"> </w:t>
      </w:r>
      <w:r w:rsidR="00475A4B">
        <w:rPr>
          <w:vertAlign w:val="subscript"/>
        </w:rPr>
        <w:t>s</w:t>
      </w:r>
      <w:r>
        <w:t xml:space="preserve"> + </w:t>
      </w:r>
      <w:r w:rsidR="000035F0">
        <w:rPr>
          <w:rFonts w:ascii="Symbol" w:eastAsia="Symbol" w:hAnsi="Symbol" w:cs="Symbol"/>
        </w:rPr>
        <w:t>S</w:t>
      </w:r>
      <w:r w:rsidR="000035F0" w:rsidRPr="00964273">
        <w:rPr>
          <w:vertAlign w:val="subscript"/>
        </w:rPr>
        <w:t>s</w:t>
      </w:r>
      <w:r w:rsidR="006C7183">
        <w:rPr>
          <w:vertAlign w:val="subscript"/>
        </w:rPr>
        <w:t>’</w:t>
      </w:r>
      <w:r w:rsidR="000035F0" w:rsidRPr="00964273">
        <w:rPr>
          <w:vertAlign w:val="subscript"/>
        </w:rPr>
        <w:t>=</w:t>
      </w:r>
      <w:r w:rsidR="004A7452">
        <w:rPr>
          <w:vertAlign w:val="subscript"/>
        </w:rPr>
        <w:t>1</w:t>
      </w:r>
      <w:r w:rsidR="000035F0" w:rsidRPr="00964273">
        <w:rPr>
          <w:vertAlign w:val="subscript"/>
        </w:rPr>
        <w:t xml:space="preserve"> to s</w:t>
      </w:r>
      <w:r w:rsidR="004A7452">
        <w:rPr>
          <w:vertAlign w:val="subscript"/>
        </w:rPr>
        <w:t>-1</w:t>
      </w:r>
      <w:r w:rsidR="000035F0">
        <w:t xml:space="preserve"> </w:t>
      </w:r>
      <w:r w:rsidR="00FF5894">
        <w:t>(</w:t>
      </w:r>
      <w:r>
        <w:t>TAP</w:t>
      </w:r>
      <w:r w:rsidR="00475A4B" w:rsidRPr="00475A4B">
        <w:rPr>
          <w:vertAlign w:val="subscript"/>
        </w:rPr>
        <w:t xml:space="preserve"> </w:t>
      </w:r>
      <w:r w:rsidR="00475A4B">
        <w:rPr>
          <w:vertAlign w:val="subscript"/>
        </w:rPr>
        <w:t>s’</w:t>
      </w:r>
      <w:r>
        <w:t xml:space="preserve"> </w:t>
      </w:r>
      <w:r w:rsidR="003721F1">
        <w:t>- TAAP</w:t>
      </w:r>
      <w:r w:rsidR="00475A4B" w:rsidRPr="00475A4B">
        <w:rPr>
          <w:vertAlign w:val="subscript"/>
        </w:rPr>
        <w:t xml:space="preserve"> </w:t>
      </w:r>
      <w:r w:rsidR="00475A4B">
        <w:rPr>
          <w:vertAlign w:val="subscript"/>
        </w:rPr>
        <w:t>s</w:t>
      </w:r>
      <w:r w:rsidR="00B11D9F">
        <w:rPr>
          <w:vertAlign w:val="subscript"/>
        </w:rPr>
        <w:t>’</w:t>
      </w:r>
      <w:r w:rsidR="00FF5894">
        <w:t>)</w:t>
      </w:r>
      <w:r w:rsidR="00060B73">
        <w:t>]</w:t>
      </w:r>
      <w:r w:rsidR="00AD5BF9">
        <w:t>}</w:t>
      </w:r>
    </w:p>
    <w:p w14:paraId="7675E290" w14:textId="6D3C7CCD" w:rsidR="0019351C" w:rsidRDefault="0019351C" w:rsidP="0019351C">
      <w:pPr>
        <w:pStyle w:val="Lista"/>
      </w:pPr>
      <w:r>
        <w:lastRenderedPageBreak/>
        <w:t xml:space="preserve">The </w:t>
      </w:r>
      <w:r w:rsidRPr="005C2DA2">
        <w:rPr>
          <w:i/>
          <w:iCs/>
        </w:rPr>
        <w:t>total uplift payment</w:t>
      </w:r>
      <w:r w:rsidR="008D3C43">
        <w:rPr>
          <w:i/>
          <w:iCs/>
        </w:rPr>
        <w:t xml:space="preserve"> amount</w:t>
      </w:r>
      <w:r w:rsidRPr="005C2DA2">
        <w:rPr>
          <w:i/>
          <w:iCs/>
        </w:rPr>
        <w:t xml:space="preserve"> </w:t>
      </w:r>
      <w:r>
        <w:t xml:space="preserve">to associate with each </w:t>
      </w:r>
      <w:r w:rsidR="00720408" w:rsidRPr="00991CE5">
        <w:rPr>
          <w:i/>
          <w:iCs/>
        </w:rPr>
        <w:t>operating schedule</w:t>
      </w:r>
      <w:r w:rsidR="00720408">
        <w:t xml:space="preserve"> </w:t>
      </w:r>
      <w:r>
        <w:t xml:space="preserve">s must be determined </w:t>
      </w:r>
      <w:r w:rsidR="004A174A">
        <w:t xml:space="preserve">by AEMO </w:t>
      </w:r>
      <w:r>
        <w:t xml:space="preserve">by multiplying the total </w:t>
      </w:r>
      <w:r w:rsidRPr="00095704">
        <w:rPr>
          <w:i/>
          <w:iCs/>
        </w:rPr>
        <w:t>ancillary payment</w:t>
      </w:r>
      <w:r>
        <w:t xml:space="preserve"> for that </w:t>
      </w:r>
      <w:r w:rsidR="00720408" w:rsidRPr="00991CE5">
        <w:rPr>
          <w:i/>
          <w:iCs/>
        </w:rPr>
        <w:t>operating schedule</w:t>
      </w:r>
      <w:r w:rsidR="00720408">
        <w:t xml:space="preserve"> </w:t>
      </w:r>
      <w:r>
        <w:t xml:space="preserve">s by the ratio of the total adjusted </w:t>
      </w:r>
      <w:r w:rsidRPr="00095704">
        <w:rPr>
          <w:i/>
          <w:iCs/>
        </w:rPr>
        <w:t>ancillary payment</w:t>
      </w:r>
      <w:r>
        <w:t xml:space="preserve"> to the total </w:t>
      </w:r>
      <w:r w:rsidRPr="00095704">
        <w:rPr>
          <w:i/>
          <w:iCs/>
        </w:rPr>
        <w:t>ancillary payments</w:t>
      </w:r>
      <w:r>
        <w:t xml:space="preserve"> over a group of sequential </w:t>
      </w:r>
      <w:r w:rsidR="00016306" w:rsidRPr="00991CE5">
        <w:rPr>
          <w:i/>
          <w:iCs/>
        </w:rPr>
        <w:t>operating schedule</w:t>
      </w:r>
      <w:r w:rsidR="00016306">
        <w:t xml:space="preserve"> </w:t>
      </w:r>
      <w:r>
        <w:t xml:space="preserve">including </w:t>
      </w:r>
      <w:r w:rsidR="00016306" w:rsidRPr="00991CE5">
        <w:rPr>
          <w:i/>
          <w:iCs/>
        </w:rPr>
        <w:t>operating schedule</w:t>
      </w:r>
      <w:r w:rsidR="00016306">
        <w:t xml:space="preserve"> </w:t>
      </w:r>
      <w:r>
        <w:t xml:space="preserve">s having the same signed total </w:t>
      </w:r>
      <w:r w:rsidRPr="00095704">
        <w:rPr>
          <w:i/>
          <w:iCs/>
        </w:rPr>
        <w:t>ancillary payment</w:t>
      </w:r>
      <w:r>
        <w:t xml:space="preserve">. </w:t>
      </w:r>
    </w:p>
    <w:p w14:paraId="2381A560" w14:textId="77777777" w:rsidR="0019351C" w:rsidRDefault="0019351C" w:rsidP="008A256A">
      <w:pPr>
        <w:pStyle w:val="ListContinue3"/>
        <w:ind w:left="1276"/>
      </w:pPr>
      <w:r>
        <w:t xml:space="preserve">This is calculated as follows: </w:t>
      </w:r>
    </w:p>
    <w:p w14:paraId="3FB21F7A" w14:textId="361C88F6" w:rsidR="0019351C" w:rsidRDefault="0019351C" w:rsidP="008A256A">
      <w:pPr>
        <w:pStyle w:val="ListContinue3"/>
        <w:ind w:left="1276"/>
      </w:pPr>
      <w:r>
        <w:t>TUP</w:t>
      </w:r>
      <w:r w:rsidR="000B1DFB">
        <w:rPr>
          <w:vertAlign w:val="subscript"/>
        </w:rPr>
        <w:t>s</w:t>
      </w:r>
      <w:r>
        <w:t xml:space="preserve"> </w:t>
      </w:r>
      <w:r w:rsidR="002B2CD4">
        <w:tab/>
      </w:r>
      <w:r w:rsidR="002B2CD4">
        <w:tab/>
      </w:r>
      <w:r>
        <w:t xml:space="preserve">=   </w:t>
      </w:r>
      <w:r w:rsidR="003721F1">
        <w:t>TAP</w:t>
      </w:r>
      <w:r w:rsidR="003721F1">
        <w:rPr>
          <w:vertAlign w:val="subscript"/>
        </w:rPr>
        <w:t>s</w:t>
      </w:r>
      <w:r w:rsidR="003721F1">
        <w:t xml:space="preserve"> x (</w:t>
      </w:r>
      <w:r w:rsidR="00EA600F">
        <w:rPr>
          <w:rFonts w:ascii="Symbol" w:eastAsia="Symbol" w:hAnsi="Symbol" w:cs="Symbol"/>
        </w:rPr>
        <w:t>S</w:t>
      </w:r>
      <w:r w:rsidR="00EA600F" w:rsidRPr="00964273">
        <w:rPr>
          <w:vertAlign w:val="subscript"/>
        </w:rPr>
        <w:t>s</w:t>
      </w:r>
      <w:r w:rsidR="00EA600F">
        <w:rPr>
          <w:vertAlign w:val="subscript"/>
        </w:rPr>
        <w:t>’</w:t>
      </w:r>
      <w:r>
        <w:t xml:space="preserve"> in GROUP</w:t>
      </w:r>
      <w:r w:rsidR="00126D44">
        <w:rPr>
          <w:vertAlign w:val="subscript"/>
        </w:rPr>
        <w:t>s</w:t>
      </w:r>
      <w:r>
        <w:t xml:space="preserve"> TAAP</w:t>
      </w:r>
      <w:r w:rsidR="00126D44">
        <w:rPr>
          <w:vertAlign w:val="subscript"/>
        </w:rPr>
        <w:t>s</w:t>
      </w:r>
      <w:r w:rsidR="00A2131E">
        <w:rPr>
          <w:vertAlign w:val="subscript"/>
        </w:rPr>
        <w:t>’</w:t>
      </w:r>
      <w:r>
        <w:t>) / (</w:t>
      </w:r>
      <w:r w:rsidR="00EA600F">
        <w:rPr>
          <w:rFonts w:ascii="Symbol" w:eastAsia="Symbol" w:hAnsi="Symbol" w:cs="Symbol"/>
        </w:rPr>
        <w:t>S</w:t>
      </w:r>
      <w:r w:rsidR="00EA600F" w:rsidRPr="00964273">
        <w:rPr>
          <w:vertAlign w:val="subscript"/>
        </w:rPr>
        <w:t>s</w:t>
      </w:r>
      <w:r w:rsidR="00EA600F">
        <w:rPr>
          <w:vertAlign w:val="subscript"/>
        </w:rPr>
        <w:t>’</w:t>
      </w:r>
      <w:r>
        <w:t xml:space="preserve"> in GROUP</w:t>
      </w:r>
      <w:r w:rsidR="00A2131E">
        <w:rPr>
          <w:vertAlign w:val="subscript"/>
        </w:rPr>
        <w:t>s</w:t>
      </w:r>
      <w:r>
        <w:t xml:space="preserve"> TAP</w:t>
      </w:r>
      <w:r w:rsidR="00A2131E">
        <w:rPr>
          <w:vertAlign w:val="subscript"/>
        </w:rPr>
        <w:t>s’</w:t>
      </w:r>
      <w:r>
        <w:t>)</w:t>
      </w:r>
    </w:p>
    <w:p w14:paraId="2F6E6FBA" w14:textId="328329A2" w:rsidR="0019351C" w:rsidRPr="008644B4" w:rsidRDefault="0019351C" w:rsidP="00770413">
      <w:pPr>
        <w:pStyle w:val="ListContinue3"/>
        <w:ind w:left="1276"/>
      </w:pPr>
      <w:r w:rsidRPr="008644B4">
        <w:t>Where GROUP</w:t>
      </w:r>
      <w:r w:rsidR="00A87054" w:rsidRPr="008644B4">
        <w:rPr>
          <w:vertAlign w:val="subscript"/>
        </w:rPr>
        <w:t>s</w:t>
      </w:r>
      <w:r w:rsidRPr="008644B4">
        <w:t xml:space="preserve"> indicates the set of sequential schedules containing </w:t>
      </w:r>
      <w:r w:rsidR="00E1400D" w:rsidRPr="008644B4">
        <w:rPr>
          <w:i/>
          <w:iCs/>
        </w:rPr>
        <w:t xml:space="preserve">operating </w:t>
      </w:r>
      <w:r w:rsidRPr="008644B4">
        <w:rPr>
          <w:i/>
          <w:iCs/>
        </w:rPr>
        <w:t>schedule</w:t>
      </w:r>
      <w:r w:rsidRPr="008644B4">
        <w:t xml:space="preserve"> s which have the same signed TAP</w:t>
      </w:r>
      <w:r w:rsidR="00E1400D" w:rsidRPr="008644B4">
        <w:rPr>
          <w:vertAlign w:val="subscript"/>
        </w:rPr>
        <w:t>s</w:t>
      </w:r>
      <w:r w:rsidRPr="008644B4">
        <w:t xml:space="preserve"> value as</w:t>
      </w:r>
      <w:r w:rsidR="00431594" w:rsidRPr="00431594">
        <w:rPr>
          <w:i/>
          <w:iCs/>
        </w:rPr>
        <w:t xml:space="preserve"> operating </w:t>
      </w:r>
      <w:r w:rsidRPr="00431594">
        <w:rPr>
          <w:i/>
          <w:iCs/>
        </w:rPr>
        <w:t>schedule</w:t>
      </w:r>
      <w:r w:rsidRPr="008644B4">
        <w:t xml:space="preserve"> s. The rules for defining GROUP</w:t>
      </w:r>
      <w:r w:rsidR="00E1400D" w:rsidRPr="00431594">
        <w:rPr>
          <w:vertAlign w:val="subscript"/>
        </w:rPr>
        <w:t>s</w:t>
      </w:r>
      <w:r w:rsidRPr="008644B4">
        <w:t xml:space="preserve"> are:</w:t>
      </w:r>
    </w:p>
    <w:p w14:paraId="0786F784" w14:textId="17D917C2" w:rsidR="001027ED" w:rsidRDefault="0019351C" w:rsidP="000B748B">
      <w:pPr>
        <w:pStyle w:val="Listi"/>
      </w:pPr>
      <w:r>
        <w:t>If TAP</w:t>
      </w:r>
      <w:r w:rsidR="00E1400D" w:rsidRPr="00964273">
        <w:rPr>
          <w:vertAlign w:val="subscript"/>
        </w:rPr>
        <w:t>s</w:t>
      </w:r>
      <w:r>
        <w:t xml:space="preserve"> ≥ 0</w:t>
      </w:r>
      <w:r w:rsidR="00431594">
        <w:t>,</w:t>
      </w:r>
      <w:r>
        <w:t xml:space="preserve"> then GROUP</w:t>
      </w:r>
      <w:r w:rsidR="00E1400D" w:rsidRPr="00964273">
        <w:rPr>
          <w:vertAlign w:val="subscript"/>
        </w:rPr>
        <w:t>s</w:t>
      </w:r>
      <w:r>
        <w:t xml:space="preserve"> </w:t>
      </w:r>
      <w:r w:rsidR="00A46C6A">
        <w:t xml:space="preserve">indicates the set </w:t>
      </w:r>
      <w:r w:rsidR="00003D46">
        <w:t xml:space="preserve">of sequential </w:t>
      </w:r>
      <w:r>
        <w:t xml:space="preserve">schedules </w:t>
      </w:r>
      <w:r w:rsidR="00E83935">
        <w:t xml:space="preserve">before and after </w:t>
      </w:r>
      <w:r w:rsidR="008E796D">
        <w:t xml:space="preserve">schedule s </w:t>
      </w:r>
      <w:r w:rsidR="00B73D43">
        <w:t xml:space="preserve">that all have </w:t>
      </w:r>
      <w:r w:rsidR="001027ED">
        <w:t>TAP</w:t>
      </w:r>
      <w:r w:rsidR="001027ED" w:rsidRPr="00964273">
        <w:rPr>
          <w:vertAlign w:val="subscript"/>
        </w:rPr>
        <w:t>s</w:t>
      </w:r>
      <w:r w:rsidR="001027ED">
        <w:t xml:space="preserve"> ≥ 0</w:t>
      </w:r>
    </w:p>
    <w:p w14:paraId="179091A7" w14:textId="656D18AE" w:rsidR="0019351C" w:rsidRDefault="0019351C" w:rsidP="000B748B">
      <w:pPr>
        <w:pStyle w:val="Listi"/>
      </w:pPr>
      <w:r>
        <w:t>If TAP</w:t>
      </w:r>
      <w:r w:rsidR="00E1400D" w:rsidRPr="00964273">
        <w:rPr>
          <w:vertAlign w:val="subscript"/>
        </w:rPr>
        <w:t>s</w:t>
      </w:r>
      <w:r>
        <w:t>&lt;0</w:t>
      </w:r>
      <w:r w:rsidR="00431594">
        <w:t>,</w:t>
      </w:r>
      <w:r>
        <w:t xml:space="preserve"> then GROUP</w:t>
      </w:r>
      <w:r w:rsidR="00E1400D" w:rsidRPr="00964273">
        <w:rPr>
          <w:vertAlign w:val="subscript"/>
        </w:rPr>
        <w:t>s</w:t>
      </w:r>
      <w:r w:rsidR="00572DBD">
        <w:rPr>
          <w:vertAlign w:val="subscript"/>
        </w:rPr>
        <w:t xml:space="preserve"> </w:t>
      </w:r>
      <w:r w:rsidR="00572DBD">
        <w:t>indicates the set of sequential schedules before and after schedule s that all have TAP</w:t>
      </w:r>
      <w:r w:rsidR="00572DBD" w:rsidRPr="00964273">
        <w:rPr>
          <w:vertAlign w:val="subscript"/>
        </w:rPr>
        <w:t>s</w:t>
      </w:r>
      <w:r w:rsidR="00572DBD">
        <w:t xml:space="preserve"> &lt; 0</w:t>
      </w:r>
      <w:r>
        <w:t>.</w:t>
      </w:r>
    </w:p>
    <w:p w14:paraId="158A8A42" w14:textId="0EFB3693" w:rsidR="004E3290" w:rsidRPr="00C12ED7" w:rsidRDefault="0053584F" w:rsidP="00C12ED7">
      <w:pPr>
        <w:pStyle w:val="Caption"/>
        <w:ind w:left="1276"/>
      </w:pPr>
      <w:r>
        <w:t xml:space="preserve">Table </w:t>
      </w:r>
      <w:r>
        <w:fldChar w:fldCharType="begin"/>
      </w:r>
      <w:r>
        <w:instrText>SEQ Table \* ARABIC</w:instrText>
      </w:r>
      <w:r>
        <w:fldChar w:fldCharType="separate"/>
      </w:r>
      <w:r w:rsidR="00BA68AF">
        <w:rPr>
          <w:noProof/>
        </w:rPr>
        <w:t>1</w:t>
      </w:r>
      <w:r>
        <w:fldChar w:fldCharType="end"/>
      </w:r>
      <w:r>
        <w:t xml:space="preserve"> Example o</w:t>
      </w:r>
      <w:r w:rsidR="00C12ED7">
        <w:t>f</w:t>
      </w:r>
      <w:r>
        <w:t xml:space="preserve"> </w:t>
      </w:r>
      <w:r w:rsidR="65CCBE2C">
        <w:t>calculation</w:t>
      </w:r>
      <w:r>
        <w:t xml:space="preserve"> for total uplift payment</w:t>
      </w:r>
    </w:p>
    <w:tbl>
      <w:tblPr>
        <w:tblStyle w:val="AEMOTable1"/>
        <w:tblW w:w="0" w:type="auto"/>
        <w:tblInd w:w="1276" w:type="dxa"/>
        <w:tblBorders>
          <w:top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2143"/>
        <w:gridCol w:w="981"/>
        <w:gridCol w:w="982"/>
        <w:gridCol w:w="981"/>
        <w:gridCol w:w="981"/>
        <w:gridCol w:w="936"/>
        <w:gridCol w:w="894"/>
      </w:tblGrid>
      <w:tr w:rsidR="004E3290" w14:paraId="5E93A206" w14:textId="0C5A8382" w:rsidTr="00C12E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14:paraId="388B7388" w14:textId="77777777" w:rsidR="00231B0C" w:rsidRDefault="00231B0C" w:rsidP="00AC092A">
            <w:pPr>
              <w:pStyle w:val="TableTitle"/>
            </w:pPr>
          </w:p>
        </w:tc>
        <w:tc>
          <w:tcPr>
            <w:tcW w:w="981" w:type="dxa"/>
          </w:tcPr>
          <w:p w14:paraId="58DBF8E1" w14:textId="77777777" w:rsidR="00231B0C" w:rsidRDefault="00231B0C" w:rsidP="00AC092A">
            <w:pPr>
              <w:pStyle w:val="TableTitle"/>
              <w:jc w:val="center"/>
              <w:cnfStyle w:val="100000000000" w:firstRow="1" w:lastRow="0" w:firstColumn="0" w:lastColumn="0" w:oddVBand="0" w:evenVBand="0" w:oddHBand="0" w:evenHBand="0" w:firstRowFirstColumn="0" w:firstRowLastColumn="0" w:lastRowFirstColumn="0" w:lastRowLastColumn="0"/>
            </w:pPr>
            <w:r>
              <w:t>1</w:t>
            </w:r>
          </w:p>
        </w:tc>
        <w:tc>
          <w:tcPr>
            <w:tcW w:w="982" w:type="dxa"/>
          </w:tcPr>
          <w:p w14:paraId="09E7ACBA" w14:textId="77777777" w:rsidR="00231B0C" w:rsidRDefault="00231B0C" w:rsidP="00AC092A">
            <w:pPr>
              <w:pStyle w:val="TableTitle"/>
              <w:jc w:val="center"/>
              <w:cnfStyle w:val="100000000000" w:firstRow="1" w:lastRow="0" w:firstColumn="0" w:lastColumn="0" w:oddVBand="0" w:evenVBand="0" w:oddHBand="0" w:evenHBand="0" w:firstRowFirstColumn="0" w:firstRowLastColumn="0" w:lastRowFirstColumn="0" w:lastRowLastColumn="0"/>
            </w:pPr>
            <w:r>
              <w:t>2</w:t>
            </w:r>
          </w:p>
        </w:tc>
        <w:tc>
          <w:tcPr>
            <w:tcW w:w="981" w:type="dxa"/>
          </w:tcPr>
          <w:p w14:paraId="17DA1F02" w14:textId="77777777" w:rsidR="00231B0C" w:rsidRDefault="00231B0C" w:rsidP="00AC092A">
            <w:pPr>
              <w:pStyle w:val="TableTitle"/>
              <w:jc w:val="center"/>
              <w:cnfStyle w:val="100000000000" w:firstRow="1" w:lastRow="0" w:firstColumn="0" w:lastColumn="0" w:oddVBand="0" w:evenVBand="0" w:oddHBand="0" w:evenHBand="0" w:firstRowFirstColumn="0" w:firstRowLastColumn="0" w:lastRowFirstColumn="0" w:lastRowLastColumn="0"/>
            </w:pPr>
            <w:r>
              <w:t>3</w:t>
            </w:r>
          </w:p>
        </w:tc>
        <w:tc>
          <w:tcPr>
            <w:tcW w:w="981" w:type="dxa"/>
          </w:tcPr>
          <w:p w14:paraId="25E4557D" w14:textId="77777777" w:rsidR="00231B0C" w:rsidRDefault="00231B0C" w:rsidP="00AC092A">
            <w:pPr>
              <w:pStyle w:val="TableTitle"/>
              <w:jc w:val="center"/>
              <w:cnfStyle w:val="100000000000" w:firstRow="1" w:lastRow="0" w:firstColumn="0" w:lastColumn="0" w:oddVBand="0" w:evenVBand="0" w:oddHBand="0" w:evenHBand="0" w:firstRowFirstColumn="0" w:firstRowLastColumn="0" w:lastRowFirstColumn="0" w:lastRowLastColumn="0"/>
            </w:pPr>
            <w:r>
              <w:t>4</w:t>
            </w:r>
          </w:p>
        </w:tc>
        <w:tc>
          <w:tcPr>
            <w:tcW w:w="936" w:type="dxa"/>
          </w:tcPr>
          <w:p w14:paraId="43B05402" w14:textId="77777777" w:rsidR="00231B0C" w:rsidRDefault="00231B0C" w:rsidP="00AC092A">
            <w:pPr>
              <w:pStyle w:val="TableTitle"/>
              <w:jc w:val="center"/>
              <w:cnfStyle w:val="100000000000" w:firstRow="1" w:lastRow="0" w:firstColumn="0" w:lastColumn="0" w:oddVBand="0" w:evenVBand="0" w:oddHBand="0" w:evenHBand="0" w:firstRowFirstColumn="0" w:firstRowLastColumn="0" w:lastRowFirstColumn="0" w:lastRowLastColumn="0"/>
            </w:pPr>
            <w:r>
              <w:t>5</w:t>
            </w:r>
          </w:p>
        </w:tc>
        <w:tc>
          <w:tcPr>
            <w:tcW w:w="894" w:type="dxa"/>
          </w:tcPr>
          <w:p w14:paraId="0773D60A" w14:textId="3D10899F" w:rsidR="00231B0C" w:rsidRDefault="00231B0C" w:rsidP="00AC092A">
            <w:pPr>
              <w:pStyle w:val="TableTitle"/>
              <w:jc w:val="center"/>
              <w:cnfStyle w:val="100000000000" w:firstRow="1" w:lastRow="0" w:firstColumn="0" w:lastColumn="0" w:oddVBand="0" w:evenVBand="0" w:oddHBand="0" w:evenHBand="0" w:firstRowFirstColumn="0" w:firstRowLastColumn="0" w:lastRowFirstColumn="0" w:lastRowLastColumn="0"/>
            </w:pPr>
            <w:r>
              <w:t>Total</w:t>
            </w:r>
          </w:p>
        </w:tc>
      </w:tr>
      <w:tr w:rsidR="004E3290" w14:paraId="307E32D4" w14:textId="203D0453" w:rsidTr="00C12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14:paraId="60BB9D17" w14:textId="4539FE0E" w:rsidR="00231B0C" w:rsidRDefault="00231B0C" w:rsidP="00AC092A">
            <w:pPr>
              <w:pStyle w:val="TableText"/>
            </w:pPr>
            <w:r>
              <w:t>TAP</w:t>
            </w:r>
            <w:r w:rsidRPr="00701F0C">
              <w:t>s</w:t>
            </w:r>
          </w:p>
        </w:tc>
        <w:tc>
          <w:tcPr>
            <w:tcW w:w="981" w:type="dxa"/>
          </w:tcPr>
          <w:p w14:paraId="18865E30" w14:textId="11DA4B91" w:rsidR="00231B0C" w:rsidRPr="00844E8A" w:rsidRDefault="00231B0C" w:rsidP="00AC092A">
            <w:pPr>
              <w:pStyle w:val="TableText"/>
              <w:jc w:val="center"/>
              <w:cnfStyle w:val="000000100000" w:firstRow="0" w:lastRow="0" w:firstColumn="0" w:lastColumn="0" w:oddVBand="0" w:evenVBand="0" w:oddHBand="1" w:evenHBand="0" w:firstRowFirstColumn="0" w:firstRowLastColumn="0" w:lastRowFirstColumn="0" w:lastRowLastColumn="0"/>
            </w:pPr>
            <w:r>
              <w:t>$</w:t>
            </w:r>
            <w:r w:rsidRPr="00A94106">
              <w:t>900</w:t>
            </w:r>
          </w:p>
        </w:tc>
        <w:tc>
          <w:tcPr>
            <w:tcW w:w="982" w:type="dxa"/>
          </w:tcPr>
          <w:p w14:paraId="75D82150" w14:textId="550F3CBB" w:rsidR="00231B0C" w:rsidRPr="00844E8A" w:rsidRDefault="00231B0C" w:rsidP="00AC092A">
            <w:pPr>
              <w:pStyle w:val="TableText"/>
              <w:jc w:val="center"/>
              <w:cnfStyle w:val="000000100000" w:firstRow="0" w:lastRow="0" w:firstColumn="0" w:lastColumn="0" w:oddVBand="0" w:evenVBand="0" w:oddHBand="1" w:evenHBand="0" w:firstRowFirstColumn="0" w:firstRowLastColumn="0" w:lastRowFirstColumn="0" w:lastRowLastColumn="0"/>
            </w:pPr>
            <w:r w:rsidRPr="00A94106">
              <w:t>-</w:t>
            </w:r>
            <w:r>
              <w:t>$</w:t>
            </w:r>
            <w:r w:rsidRPr="00A94106">
              <w:t>400</w:t>
            </w:r>
          </w:p>
        </w:tc>
        <w:tc>
          <w:tcPr>
            <w:tcW w:w="981" w:type="dxa"/>
          </w:tcPr>
          <w:p w14:paraId="7F82FE02" w14:textId="4490C822" w:rsidR="00231B0C" w:rsidRPr="00844E8A" w:rsidRDefault="00231B0C" w:rsidP="00AC092A">
            <w:pPr>
              <w:pStyle w:val="TableText"/>
              <w:jc w:val="center"/>
              <w:cnfStyle w:val="000000100000" w:firstRow="0" w:lastRow="0" w:firstColumn="0" w:lastColumn="0" w:oddVBand="0" w:evenVBand="0" w:oddHBand="1" w:evenHBand="0" w:firstRowFirstColumn="0" w:firstRowLastColumn="0" w:lastRowFirstColumn="0" w:lastRowLastColumn="0"/>
            </w:pPr>
            <w:r w:rsidRPr="00A94106">
              <w:t>-</w:t>
            </w:r>
            <w:r>
              <w:t>$</w:t>
            </w:r>
            <w:r w:rsidRPr="00A94106">
              <w:t>800</w:t>
            </w:r>
          </w:p>
        </w:tc>
        <w:tc>
          <w:tcPr>
            <w:tcW w:w="981" w:type="dxa"/>
          </w:tcPr>
          <w:p w14:paraId="5F578DFB" w14:textId="4B2060D4" w:rsidR="00231B0C" w:rsidRDefault="00231B0C" w:rsidP="00AC092A">
            <w:pPr>
              <w:pStyle w:val="TableText"/>
              <w:jc w:val="center"/>
              <w:cnfStyle w:val="000000100000" w:firstRow="0" w:lastRow="0" w:firstColumn="0" w:lastColumn="0" w:oddVBand="0" w:evenVBand="0" w:oddHBand="1" w:evenHBand="0" w:firstRowFirstColumn="0" w:firstRowLastColumn="0" w:lastRowFirstColumn="0" w:lastRowLastColumn="0"/>
            </w:pPr>
            <w:r>
              <w:t>$</w:t>
            </w:r>
            <w:r w:rsidRPr="00A94106">
              <w:t>200</w:t>
            </w:r>
          </w:p>
        </w:tc>
        <w:tc>
          <w:tcPr>
            <w:tcW w:w="936" w:type="dxa"/>
          </w:tcPr>
          <w:p w14:paraId="3CEECEBE" w14:textId="36195E56" w:rsidR="00231B0C" w:rsidRDefault="00231B0C" w:rsidP="00AC092A">
            <w:pPr>
              <w:pStyle w:val="TableText"/>
              <w:jc w:val="center"/>
              <w:cnfStyle w:val="000000100000" w:firstRow="0" w:lastRow="0" w:firstColumn="0" w:lastColumn="0" w:oddVBand="0" w:evenVBand="0" w:oddHBand="1" w:evenHBand="0" w:firstRowFirstColumn="0" w:firstRowLastColumn="0" w:lastRowFirstColumn="0" w:lastRowLastColumn="0"/>
            </w:pPr>
            <w:r>
              <w:t>$</w:t>
            </w:r>
            <w:r w:rsidRPr="00A94106">
              <w:t>0</w:t>
            </w:r>
          </w:p>
        </w:tc>
        <w:tc>
          <w:tcPr>
            <w:tcW w:w="894" w:type="dxa"/>
          </w:tcPr>
          <w:p w14:paraId="5FDBA018" w14:textId="53468E49" w:rsidR="00231B0C" w:rsidRDefault="00231B0C" w:rsidP="00AC092A">
            <w:pPr>
              <w:pStyle w:val="TableText"/>
              <w:jc w:val="center"/>
              <w:cnfStyle w:val="000000100000" w:firstRow="0" w:lastRow="0" w:firstColumn="0" w:lastColumn="0" w:oddVBand="0" w:evenVBand="0" w:oddHBand="1" w:evenHBand="0" w:firstRowFirstColumn="0" w:firstRowLastColumn="0" w:lastRowFirstColumn="0" w:lastRowLastColumn="0"/>
            </w:pPr>
            <w:r>
              <w:t>-$100</w:t>
            </w:r>
          </w:p>
        </w:tc>
      </w:tr>
      <w:tr w:rsidR="004E3290" w14:paraId="1AB65282" w14:textId="3E4F60A8" w:rsidTr="00C12E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14:paraId="463C60B9" w14:textId="181763AF" w:rsidR="00231B0C" w:rsidRDefault="00231B0C" w:rsidP="00AC092A">
            <w:pPr>
              <w:pStyle w:val="TableText"/>
            </w:pPr>
            <w:r>
              <w:t>Group</w:t>
            </w:r>
          </w:p>
        </w:tc>
        <w:tc>
          <w:tcPr>
            <w:tcW w:w="981" w:type="dxa"/>
          </w:tcPr>
          <w:p w14:paraId="155779F1" w14:textId="42FF160F" w:rsidR="00231B0C" w:rsidRPr="00A94106" w:rsidRDefault="00231B0C" w:rsidP="00AC092A">
            <w:pPr>
              <w:pStyle w:val="TableText"/>
              <w:jc w:val="center"/>
              <w:cnfStyle w:val="000000010000" w:firstRow="0" w:lastRow="0" w:firstColumn="0" w:lastColumn="0" w:oddVBand="0" w:evenVBand="0" w:oddHBand="0" w:evenHBand="1" w:firstRowFirstColumn="0" w:firstRowLastColumn="0" w:lastRowFirstColumn="0" w:lastRowLastColumn="0"/>
            </w:pPr>
            <w:r>
              <w:t>1</w:t>
            </w:r>
          </w:p>
        </w:tc>
        <w:tc>
          <w:tcPr>
            <w:tcW w:w="982" w:type="dxa"/>
          </w:tcPr>
          <w:p w14:paraId="57EDD922" w14:textId="2F68D5DD" w:rsidR="00231B0C" w:rsidRPr="00A94106" w:rsidRDefault="00231B0C" w:rsidP="00AC092A">
            <w:pPr>
              <w:pStyle w:val="TableText"/>
              <w:jc w:val="center"/>
              <w:cnfStyle w:val="000000010000" w:firstRow="0" w:lastRow="0" w:firstColumn="0" w:lastColumn="0" w:oddVBand="0" w:evenVBand="0" w:oddHBand="0" w:evenHBand="1" w:firstRowFirstColumn="0" w:firstRowLastColumn="0" w:lastRowFirstColumn="0" w:lastRowLastColumn="0"/>
            </w:pPr>
            <w:r>
              <w:t>2</w:t>
            </w:r>
          </w:p>
        </w:tc>
        <w:tc>
          <w:tcPr>
            <w:tcW w:w="981" w:type="dxa"/>
          </w:tcPr>
          <w:p w14:paraId="5AAFCB3C" w14:textId="210BDB96" w:rsidR="00231B0C" w:rsidRPr="00A94106" w:rsidRDefault="00231B0C" w:rsidP="00AC092A">
            <w:pPr>
              <w:pStyle w:val="TableText"/>
              <w:jc w:val="center"/>
              <w:cnfStyle w:val="000000010000" w:firstRow="0" w:lastRow="0" w:firstColumn="0" w:lastColumn="0" w:oddVBand="0" w:evenVBand="0" w:oddHBand="0" w:evenHBand="1" w:firstRowFirstColumn="0" w:firstRowLastColumn="0" w:lastRowFirstColumn="0" w:lastRowLastColumn="0"/>
            </w:pPr>
            <w:r>
              <w:t>2</w:t>
            </w:r>
          </w:p>
        </w:tc>
        <w:tc>
          <w:tcPr>
            <w:tcW w:w="981" w:type="dxa"/>
          </w:tcPr>
          <w:p w14:paraId="2514AD7E" w14:textId="713C6262" w:rsidR="00231B0C" w:rsidRPr="00A94106" w:rsidRDefault="00231B0C" w:rsidP="00AC092A">
            <w:pPr>
              <w:pStyle w:val="TableText"/>
              <w:jc w:val="center"/>
              <w:cnfStyle w:val="000000010000" w:firstRow="0" w:lastRow="0" w:firstColumn="0" w:lastColumn="0" w:oddVBand="0" w:evenVBand="0" w:oddHBand="0" w:evenHBand="1" w:firstRowFirstColumn="0" w:firstRowLastColumn="0" w:lastRowFirstColumn="0" w:lastRowLastColumn="0"/>
            </w:pPr>
            <w:r>
              <w:t>3</w:t>
            </w:r>
          </w:p>
        </w:tc>
        <w:tc>
          <w:tcPr>
            <w:tcW w:w="936" w:type="dxa"/>
          </w:tcPr>
          <w:p w14:paraId="25507572" w14:textId="6F5A1799" w:rsidR="00231B0C" w:rsidRPr="00A94106" w:rsidRDefault="00231B0C" w:rsidP="00AC092A">
            <w:pPr>
              <w:pStyle w:val="TableText"/>
              <w:jc w:val="center"/>
              <w:cnfStyle w:val="000000010000" w:firstRow="0" w:lastRow="0" w:firstColumn="0" w:lastColumn="0" w:oddVBand="0" w:evenVBand="0" w:oddHBand="0" w:evenHBand="1" w:firstRowFirstColumn="0" w:firstRowLastColumn="0" w:lastRowFirstColumn="0" w:lastRowLastColumn="0"/>
            </w:pPr>
            <w:r>
              <w:t>3</w:t>
            </w:r>
          </w:p>
        </w:tc>
        <w:tc>
          <w:tcPr>
            <w:tcW w:w="894" w:type="dxa"/>
          </w:tcPr>
          <w:p w14:paraId="063BF0D7" w14:textId="77777777" w:rsidR="00231B0C" w:rsidRDefault="00231B0C" w:rsidP="00AC092A">
            <w:pPr>
              <w:pStyle w:val="TableText"/>
              <w:jc w:val="center"/>
              <w:cnfStyle w:val="000000010000" w:firstRow="0" w:lastRow="0" w:firstColumn="0" w:lastColumn="0" w:oddVBand="0" w:evenVBand="0" w:oddHBand="0" w:evenHBand="1" w:firstRowFirstColumn="0" w:firstRowLastColumn="0" w:lastRowFirstColumn="0" w:lastRowLastColumn="0"/>
            </w:pPr>
          </w:p>
        </w:tc>
      </w:tr>
      <w:tr w:rsidR="004E3290" w14:paraId="3F763535" w14:textId="3629A0ED" w:rsidTr="00C12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14:paraId="0DFF0331" w14:textId="2BE68DAD" w:rsidR="00231B0C" w:rsidRDefault="00231B0C" w:rsidP="00AC092A">
            <w:pPr>
              <w:pStyle w:val="TableText"/>
            </w:pPr>
            <w:r>
              <w:t>TAAPs</w:t>
            </w:r>
          </w:p>
        </w:tc>
        <w:tc>
          <w:tcPr>
            <w:tcW w:w="981" w:type="dxa"/>
          </w:tcPr>
          <w:p w14:paraId="0B2A1937" w14:textId="539D26E3" w:rsidR="00231B0C" w:rsidRDefault="00231B0C" w:rsidP="00AC092A">
            <w:pPr>
              <w:pStyle w:val="TableText"/>
              <w:jc w:val="center"/>
              <w:cnfStyle w:val="000000100000" w:firstRow="0" w:lastRow="0" w:firstColumn="0" w:lastColumn="0" w:oddVBand="0" w:evenVBand="0" w:oddHBand="1" w:evenHBand="0" w:firstRowFirstColumn="0" w:firstRowLastColumn="0" w:lastRowFirstColumn="0" w:lastRowLastColumn="0"/>
            </w:pPr>
            <w:r>
              <w:t>$0</w:t>
            </w:r>
          </w:p>
        </w:tc>
        <w:tc>
          <w:tcPr>
            <w:tcW w:w="982" w:type="dxa"/>
          </w:tcPr>
          <w:p w14:paraId="6915FF1C" w14:textId="7FBB4729" w:rsidR="00231B0C" w:rsidRDefault="00231B0C" w:rsidP="00AC092A">
            <w:pPr>
              <w:pStyle w:val="TableText"/>
              <w:jc w:val="center"/>
              <w:cnfStyle w:val="000000100000" w:firstRow="0" w:lastRow="0" w:firstColumn="0" w:lastColumn="0" w:oddVBand="0" w:evenVBand="0" w:oddHBand="1" w:evenHBand="0" w:firstRowFirstColumn="0" w:firstRowLastColumn="0" w:lastRowFirstColumn="0" w:lastRowLastColumn="0"/>
            </w:pPr>
            <w:r>
              <w:t>$0</w:t>
            </w:r>
          </w:p>
        </w:tc>
        <w:tc>
          <w:tcPr>
            <w:tcW w:w="981" w:type="dxa"/>
          </w:tcPr>
          <w:p w14:paraId="0BE8D4DA" w14:textId="0A6BE141" w:rsidR="00231B0C" w:rsidRDefault="00231B0C" w:rsidP="00AC092A">
            <w:pPr>
              <w:pStyle w:val="TableText"/>
              <w:jc w:val="center"/>
              <w:cnfStyle w:val="000000100000" w:firstRow="0" w:lastRow="0" w:firstColumn="0" w:lastColumn="0" w:oddVBand="0" w:evenVBand="0" w:oddHBand="1" w:evenHBand="0" w:firstRowFirstColumn="0" w:firstRowLastColumn="0" w:lastRowFirstColumn="0" w:lastRowLastColumn="0"/>
            </w:pPr>
            <w:r>
              <w:t>-$300</w:t>
            </w:r>
          </w:p>
        </w:tc>
        <w:tc>
          <w:tcPr>
            <w:tcW w:w="981" w:type="dxa"/>
          </w:tcPr>
          <w:p w14:paraId="7E3A7673" w14:textId="5A5749CF" w:rsidR="00231B0C" w:rsidRDefault="00231B0C" w:rsidP="00AC092A">
            <w:pPr>
              <w:pStyle w:val="TableText"/>
              <w:jc w:val="center"/>
              <w:cnfStyle w:val="000000100000" w:firstRow="0" w:lastRow="0" w:firstColumn="0" w:lastColumn="0" w:oddVBand="0" w:evenVBand="0" w:oddHBand="1" w:evenHBand="0" w:firstRowFirstColumn="0" w:firstRowLastColumn="0" w:lastRowFirstColumn="0" w:lastRowLastColumn="0"/>
            </w:pPr>
            <w:r>
              <w:t>$200</w:t>
            </w:r>
          </w:p>
        </w:tc>
        <w:tc>
          <w:tcPr>
            <w:tcW w:w="936" w:type="dxa"/>
          </w:tcPr>
          <w:p w14:paraId="23DF1004" w14:textId="3C415F10" w:rsidR="00231B0C" w:rsidRDefault="00231B0C" w:rsidP="00AC092A">
            <w:pPr>
              <w:pStyle w:val="TableText"/>
              <w:jc w:val="center"/>
              <w:cnfStyle w:val="000000100000" w:firstRow="0" w:lastRow="0" w:firstColumn="0" w:lastColumn="0" w:oddVBand="0" w:evenVBand="0" w:oddHBand="1" w:evenHBand="0" w:firstRowFirstColumn="0" w:firstRowLastColumn="0" w:lastRowFirstColumn="0" w:lastRowLastColumn="0"/>
            </w:pPr>
            <w:r>
              <w:t>$0</w:t>
            </w:r>
          </w:p>
        </w:tc>
        <w:tc>
          <w:tcPr>
            <w:tcW w:w="894" w:type="dxa"/>
          </w:tcPr>
          <w:p w14:paraId="760F67D4" w14:textId="7CB8348A" w:rsidR="00231B0C" w:rsidRDefault="00231B0C" w:rsidP="00AC092A">
            <w:pPr>
              <w:pStyle w:val="TableText"/>
              <w:jc w:val="center"/>
              <w:cnfStyle w:val="000000100000" w:firstRow="0" w:lastRow="0" w:firstColumn="0" w:lastColumn="0" w:oddVBand="0" w:evenVBand="0" w:oddHBand="1" w:evenHBand="0" w:firstRowFirstColumn="0" w:firstRowLastColumn="0" w:lastRowFirstColumn="0" w:lastRowLastColumn="0"/>
            </w:pPr>
            <w:r>
              <w:t>-$100</w:t>
            </w:r>
          </w:p>
        </w:tc>
      </w:tr>
      <w:tr w:rsidR="00C12ED7" w14:paraId="765822B2" w14:textId="77777777" w:rsidTr="00C12E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14:paraId="086F592D" w14:textId="1B6CC2D2" w:rsidR="00A32D0C" w:rsidRDefault="004B4B9E" w:rsidP="00AC092A">
            <w:pPr>
              <w:pStyle w:val="TableText"/>
            </w:pPr>
            <w:r>
              <w:t>TUP</w:t>
            </w:r>
          </w:p>
        </w:tc>
        <w:tc>
          <w:tcPr>
            <w:tcW w:w="981" w:type="dxa"/>
          </w:tcPr>
          <w:p w14:paraId="32BCC6C0" w14:textId="1E378C29" w:rsidR="00A32D0C" w:rsidRDefault="004B4B9E" w:rsidP="00AC092A">
            <w:pPr>
              <w:pStyle w:val="TableText"/>
              <w:jc w:val="center"/>
              <w:cnfStyle w:val="000000010000" w:firstRow="0" w:lastRow="0" w:firstColumn="0" w:lastColumn="0" w:oddVBand="0" w:evenVBand="0" w:oddHBand="0" w:evenHBand="1" w:firstRowFirstColumn="0" w:firstRowLastColumn="0" w:lastRowFirstColumn="0" w:lastRowLastColumn="0"/>
            </w:pPr>
            <w:r>
              <w:t>$0</w:t>
            </w:r>
          </w:p>
        </w:tc>
        <w:tc>
          <w:tcPr>
            <w:tcW w:w="982" w:type="dxa"/>
          </w:tcPr>
          <w:p w14:paraId="0F217E75" w14:textId="5EB08DEC" w:rsidR="00A32D0C" w:rsidRDefault="004B4B9E" w:rsidP="00AC092A">
            <w:pPr>
              <w:pStyle w:val="TableText"/>
              <w:jc w:val="center"/>
              <w:cnfStyle w:val="000000010000" w:firstRow="0" w:lastRow="0" w:firstColumn="0" w:lastColumn="0" w:oddVBand="0" w:evenVBand="0" w:oddHBand="0" w:evenHBand="1" w:firstRowFirstColumn="0" w:firstRowLastColumn="0" w:lastRowFirstColumn="0" w:lastRowLastColumn="0"/>
            </w:pPr>
            <w:r>
              <w:t>-$100</w:t>
            </w:r>
          </w:p>
        </w:tc>
        <w:tc>
          <w:tcPr>
            <w:tcW w:w="981" w:type="dxa"/>
          </w:tcPr>
          <w:p w14:paraId="12FD05A7" w14:textId="3439B171" w:rsidR="00A32D0C" w:rsidRDefault="004B4B9E" w:rsidP="00AC092A">
            <w:pPr>
              <w:pStyle w:val="TableText"/>
              <w:jc w:val="center"/>
              <w:cnfStyle w:val="000000010000" w:firstRow="0" w:lastRow="0" w:firstColumn="0" w:lastColumn="0" w:oddVBand="0" w:evenVBand="0" w:oddHBand="0" w:evenHBand="1" w:firstRowFirstColumn="0" w:firstRowLastColumn="0" w:lastRowFirstColumn="0" w:lastRowLastColumn="0"/>
            </w:pPr>
            <w:r>
              <w:t>-$200</w:t>
            </w:r>
          </w:p>
        </w:tc>
        <w:tc>
          <w:tcPr>
            <w:tcW w:w="981" w:type="dxa"/>
          </w:tcPr>
          <w:p w14:paraId="0FCEA586" w14:textId="5A36DE50" w:rsidR="00A32D0C" w:rsidRDefault="004B4B9E" w:rsidP="00AC092A">
            <w:pPr>
              <w:pStyle w:val="TableText"/>
              <w:jc w:val="center"/>
              <w:cnfStyle w:val="000000010000" w:firstRow="0" w:lastRow="0" w:firstColumn="0" w:lastColumn="0" w:oddVBand="0" w:evenVBand="0" w:oddHBand="0" w:evenHBand="1" w:firstRowFirstColumn="0" w:firstRowLastColumn="0" w:lastRowFirstColumn="0" w:lastRowLastColumn="0"/>
            </w:pPr>
            <w:r>
              <w:t>$200</w:t>
            </w:r>
          </w:p>
        </w:tc>
        <w:tc>
          <w:tcPr>
            <w:tcW w:w="936" w:type="dxa"/>
          </w:tcPr>
          <w:p w14:paraId="05B0AE98" w14:textId="3F48534C" w:rsidR="00A32D0C" w:rsidRDefault="004B4B9E" w:rsidP="00AC092A">
            <w:pPr>
              <w:pStyle w:val="TableText"/>
              <w:jc w:val="center"/>
              <w:cnfStyle w:val="000000010000" w:firstRow="0" w:lastRow="0" w:firstColumn="0" w:lastColumn="0" w:oddVBand="0" w:evenVBand="0" w:oddHBand="0" w:evenHBand="1" w:firstRowFirstColumn="0" w:firstRowLastColumn="0" w:lastRowFirstColumn="0" w:lastRowLastColumn="0"/>
            </w:pPr>
            <w:r>
              <w:t>$0</w:t>
            </w:r>
          </w:p>
        </w:tc>
        <w:tc>
          <w:tcPr>
            <w:tcW w:w="894" w:type="dxa"/>
          </w:tcPr>
          <w:p w14:paraId="6626B770" w14:textId="29EB5B03" w:rsidR="00A32D0C" w:rsidRDefault="004B4B9E" w:rsidP="00AC092A">
            <w:pPr>
              <w:pStyle w:val="TableText"/>
              <w:jc w:val="center"/>
              <w:cnfStyle w:val="000000010000" w:firstRow="0" w:lastRow="0" w:firstColumn="0" w:lastColumn="0" w:oddVBand="0" w:evenVBand="0" w:oddHBand="0" w:evenHBand="1" w:firstRowFirstColumn="0" w:firstRowLastColumn="0" w:lastRowFirstColumn="0" w:lastRowLastColumn="0"/>
            </w:pPr>
            <w:r>
              <w:t>-$100</w:t>
            </w:r>
          </w:p>
        </w:tc>
      </w:tr>
    </w:tbl>
    <w:p w14:paraId="73B5466D" w14:textId="77777777" w:rsidR="00832114" w:rsidRPr="00D831E0" w:rsidRDefault="00832114" w:rsidP="00C12ED7">
      <w:pPr>
        <w:pStyle w:val="Lista"/>
        <w:numPr>
          <w:ilvl w:val="0"/>
          <w:numId w:val="0"/>
        </w:numPr>
        <w:ind w:left="1276"/>
        <w:rPr>
          <w:highlight w:val="yellow"/>
        </w:rPr>
      </w:pPr>
    </w:p>
    <w:p w14:paraId="635E9881" w14:textId="0C9E159F" w:rsidR="001866A4" w:rsidRDefault="001866A4" w:rsidP="001866A4">
      <w:pPr>
        <w:pStyle w:val="Heading2"/>
      </w:pPr>
      <w:bookmarkStart w:id="30" w:name="_Ref57987368"/>
      <w:bookmarkStart w:id="31" w:name="_Toc62480197"/>
      <w:r>
        <w:t>Determining the uplift payment quantities</w:t>
      </w:r>
      <w:r w:rsidR="00D41907">
        <w:t xml:space="preserve"> for each operating schedule</w:t>
      </w:r>
      <w:bookmarkEnd w:id="30"/>
      <w:bookmarkEnd w:id="31"/>
    </w:p>
    <w:p w14:paraId="0D3D12BE" w14:textId="77777777" w:rsidR="00416F07" w:rsidRDefault="00416F07" w:rsidP="00416F07">
      <w:pPr>
        <w:pStyle w:val="ResetPara"/>
      </w:pPr>
    </w:p>
    <w:p w14:paraId="43EABC67" w14:textId="23C2930F" w:rsidR="00416F07" w:rsidRDefault="00DD5079" w:rsidP="00247A8C">
      <w:pPr>
        <w:pStyle w:val="Lista"/>
      </w:pPr>
      <w:r>
        <w:t xml:space="preserve">The </w:t>
      </w:r>
      <w:r w:rsidR="00D1084F">
        <w:rPr>
          <w:i/>
          <w:iCs/>
        </w:rPr>
        <w:t>total uplift payment quantit</w:t>
      </w:r>
      <w:r w:rsidR="00170C7F">
        <w:rPr>
          <w:i/>
          <w:iCs/>
        </w:rPr>
        <w:t>y</w:t>
      </w:r>
      <w:r w:rsidR="00D1084F">
        <w:rPr>
          <w:i/>
          <w:iCs/>
        </w:rPr>
        <w:t xml:space="preserve"> </w:t>
      </w:r>
      <w:r w:rsidR="004A174A">
        <w:t xml:space="preserve">must be determined by AEMO </w:t>
      </w:r>
      <w:r w:rsidR="005F139F">
        <w:t xml:space="preserve">for each </w:t>
      </w:r>
      <w:r w:rsidR="005F139F">
        <w:rPr>
          <w:i/>
          <w:iCs/>
        </w:rPr>
        <w:t>operating schedule</w:t>
      </w:r>
      <w:r w:rsidR="005F139F">
        <w:t xml:space="preserve"> for each </w:t>
      </w:r>
      <w:r w:rsidR="005F139F">
        <w:rPr>
          <w:i/>
          <w:iCs/>
        </w:rPr>
        <w:t>gas day</w:t>
      </w:r>
      <w:r w:rsidR="005F139F">
        <w:t xml:space="preserve"> after </w:t>
      </w:r>
      <w:r w:rsidR="005F139F" w:rsidRPr="005C2DA2">
        <w:rPr>
          <w:i/>
          <w:iCs/>
        </w:rPr>
        <w:t>total uplift payment</w:t>
      </w:r>
      <w:r w:rsidR="005F139F">
        <w:rPr>
          <w:i/>
          <w:iCs/>
        </w:rPr>
        <w:t xml:space="preserve"> amount</w:t>
      </w:r>
      <w:r w:rsidR="00CC55D1">
        <w:rPr>
          <w:i/>
          <w:iCs/>
        </w:rPr>
        <w:t>s</w:t>
      </w:r>
      <w:r w:rsidR="00CC55D1">
        <w:t xml:space="preserve"> </w:t>
      </w:r>
      <w:r w:rsidR="00222C1A">
        <w:t xml:space="preserve">for the </w:t>
      </w:r>
      <w:r w:rsidR="00222C1A">
        <w:rPr>
          <w:i/>
          <w:iCs/>
        </w:rPr>
        <w:t>gas day</w:t>
      </w:r>
      <w:r w:rsidR="00222C1A">
        <w:t xml:space="preserve"> have been determined </w:t>
      </w:r>
      <w:r w:rsidR="00E730C1">
        <w:t xml:space="preserve">as set out in section </w:t>
      </w:r>
      <w:r w:rsidR="00E730C1">
        <w:rPr>
          <w:color w:val="2B579A"/>
          <w:shd w:val="clear" w:color="auto" w:fill="E6E6E6"/>
        </w:rPr>
        <w:fldChar w:fldCharType="begin"/>
      </w:r>
      <w:r w:rsidR="00E730C1">
        <w:instrText xml:space="preserve"> REF _Ref57967283 \n \h </w:instrText>
      </w:r>
      <w:r w:rsidR="00E730C1">
        <w:rPr>
          <w:color w:val="2B579A"/>
          <w:shd w:val="clear" w:color="auto" w:fill="E6E6E6"/>
        </w:rPr>
      </w:r>
      <w:r w:rsidR="00E730C1">
        <w:rPr>
          <w:color w:val="2B579A"/>
          <w:shd w:val="clear" w:color="auto" w:fill="E6E6E6"/>
        </w:rPr>
        <w:fldChar w:fldCharType="separate"/>
      </w:r>
      <w:r w:rsidR="00BA68AF">
        <w:t>3.2</w:t>
      </w:r>
      <w:r w:rsidR="00E730C1">
        <w:rPr>
          <w:color w:val="2B579A"/>
          <w:shd w:val="clear" w:color="auto" w:fill="E6E6E6"/>
        </w:rPr>
        <w:fldChar w:fldCharType="end"/>
      </w:r>
      <w:r w:rsidR="00BE603D">
        <w:t>.</w:t>
      </w:r>
    </w:p>
    <w:p w14:paraId="3CD1A818" w14:textId="3CF360B7" w:rsidR="00BE603D" w:rsidRDefault="00170C7F" w:rsidP="00247A8C">
      <w:pPr>
        <w:pStyle w:val="Lista"/>
      </w:pPr>
      <w:r>
        <w:t xml:space="preserve">The </w:t>
      </w:r>
      <w:r w:rsidRPr="00512583">
        <w:rPr>
          <w:i/>
        </w:rPr>
        <w:t>total uplift payment quantity</w:t>
      </w:r>
      <w:r>
        <w:t xml:space="preserve"> </w:t>
      </w:r>
      <w:r w:rsidR="00C12D51">
        <w:t xml:space="preserve">for </w:t>
      </w:r>
      <w:r w:rsidR="00C12D51" w:rsidRPr="00F2527F">
        <w:rPr>
          <w:i/>
          <w:iCs/>
        </w:rPr>
        <w:t>operating schedule</w:t>
      </w:r>
      <w:r w:rsidR="00C12D51">
        <w:t xml:space="preserve"> </w:t>
      </w:r>
      <w:r w:rsidR="00F2527F">
        <w:t xml:space="preserve">s </w:t>
      </w:r>
      <w:r w:rsidR="00C12D51">
        <w:t>is determined as</w:t>
      </w:r>
      <w:r w:rsidR="00D72652">
        <w:t xml:space="preserve"> the</w:t>
      </w:r>
      <w:r w:rsidR="00EF7E6E">
        <w:t xml:space="preserve"> </w:t>
      </w:r>
      <w:r w:rsidR="00EF7E6E" w:rsidRPr="005C2DA2">
        <w:rPr>
          <w:i/>
          <w:iCs/>
        </w:rPr>
        <w:t>total uplift payment</w:t>
      </w:r>
      <w:r w:rsidR="00EF7E6E">
        <w:rPr>
          <w:i/>
          <w:iCs/>
        </w:rPr>
        <w:t xml:space="preserve"> amount</w:t>
      </w:r>
      <w:r w:rsidR="006D4854">
        <w:t xml:space="preserve"> divided by the </w:t>
      </w:r>
      <w:r w:rsidR="000C3EC1" w:rsidRPr="000C3EC1">
        <w:rPr>
          <w:i/>
          <w:iCs/>
        </w:rPr>
        <w:t>positive ancillary payment rate</w:t>
      </w:r>
      <w:r w:rsidR="00D72652">
        <w:t xml:space="preserve"> </w:t>
      </w:r>
      <w:r w:rsidR="00564CED">
        <w:t xml:space="preserve">if positive, </w:t>
      </w:r>
      <w:r w:rsidR="001B4AF4">
        <w:t xml:space="preserve">or </w:t>
      </w:r>
      <w:r w:rsidR="001B4AF4" w:rsidRPr="001B4AF4">
        <w:rPr>
          <w:i/>
          <w:iCs/>
        </w:rPr>
        <w:t>negative ancillary payment rate</w:t>
      </w:r>
      <w:r w:rsidR="00564CED">
        <w:t xml:space="preserve"> if negative</w:t>
      </w:r>
      <w:r w:rsidR="00824BD7">
        <w:t>:</w:t>
      </w:r>
    </w:p>
    <w:p w14:paraId="3FCE9717" w14:textId="559F4020" w:rsidR="00C12D51" w:rsidRDefault="00911C0B" w:rsidP="00C12D51">
      <w:pPr>
        <w:pStyle w:val="Listi"/>
      </w:pPr>
      <w:r>
        <w:t xml:space="preserve">If </w:t>
      </w:r>
      <w:r w:rsidR="000D0035" w:rsidRPr="005C2DA2">
        <w:rPr>
          <w:i/>
          <w:iCs/>
        </w:rPr>
        <w:t>total uplift payment</w:t>
      </w:r>
      <w:r w:rsidR="000D0035">
        <w:rPr>
          <w:i/>
          <w:iCs/>
        </w:rPr>
        <w:t xml:space="preserve"> amount</w:t>
      </w:r>
      <w:r w:rsidR="000D0035">
        <w:t xml:space="preserve"> is positive</w:t>
      </w:r>
      <w:r w:rsidR="00705742">
        <w:t>:</w:t>
      </w:r>
    </w:p>
    <w:p w14:paraId="51786CFB" w14:textId="4951442B" w:rsidR="00705742" w:rsidRDefault="00626AD2" w:rsidP="00705742">
      <w:pPr>
        <w:pStyle w:val="ListContinue3"/>
        <w:ind w:left="1843"/>
        <w:rPr>
          <w:vertAlign w:val="subscript"/>
        </w:rPr>
      </w:pPr>
      <w:r>
        <w:t>TUQ</w:t>
      </w:r>
      <w:r w:rsidR="0036062B">
        <w:rPr>
          <w:vertAlign w:val="subscript"/>
        </w:rPr>
        <w:t>s</w:t>
      </w:r>
      <w:r w:rsidR="0036062B">
        <w:tab/>
      </w:r>
      <w:r w:rsidR="00AA0E75">
        <w:t>=</w:t>
      </w:r>
      <w:r w:rsidR="00043AB3">
        <w:t xml:space="preserve"> </w:t>
      </w:r>
      <w:r w:rsidR="004B48EA">
        <w:t>TUP</w:t>
      </w:r>
      <w:r w:rsidR="004B48EA">
        <w:rPr>
          <w:vertAlign w:val="subscript"/>
        </w:rPr>
        <w:t>s</w:t>
      </w:r>
      <w:r w:rsidR="00425153">
        <w:t xml:space="preserve"> </w:t>
      </w:r>
      <w:r w:rsidR="00824BD7">
        <w:t xml:space="preserve">/ </w:t>
      </w:r>
      <w:r w:rsidR="008672C4">
        <w:t>PAVAP</w:t>
      </w:r>
      <w:r w:rsidR="00B56610">
        <w:t>R</w:t>
      </w:r>
      <w:r w:rsidR="00B56610">
        <w:rPr>
          <w:vertAlign w:val="subscript"/>
        </w:rPr>
        <w:t>s</w:t>
      </w:r>
    </w:p>
    <w:p w14:paraId="712BF876" w14:textId="2C7C2F4D" w:rsidR="00B56610" w:rsidRDefault="00B56610" w:rsidP="00B56610">
      <w:pPr>
        <w:pStyle w:val="Listi"/>
      </w:pPr>
      <w:r>
        <w:t xml:space="preserve">If </w:t>
      </w:r>
      <w:r w:rsidRPr="005C2DA2">
        <w:rPr>
          <w:i/>
          <w:iCs/>
        </w:rPr>
        <w:t>total uplift payment</w:t>
      </w:r>
      <w:r>
        <w:rPr>
          <w:i/>
          <w:iCs/>
        </w:rPr>
        <w:t xml:space="preserve"> amount</w:t>
      </w:r>
      <w:r>
        <w:t xml:space="preserve"> is </w:t>
      </w:r>
      <w:r w:rsidR="00CC39B7">
        <w:t>negative</w:t>
      </w:r>
      <w:r>
        <w:t>:</w:t>
      </w:r>
    </w:p>
    <w:p w14:paraId="1D0EAC47" w14:textId="3146EA9A" w:rsidR="00B56610" w:rsidRPr="00B56610" w:rsidRDefault="00B56610" w:rsidP="00CC39B7">
      <w:pPr>
        <w:pStyle w:val="ListContinue3"/>
        <w:ind w:left="1843"/>
        <w:rPr>
          <w:vertAlign w:val="subscript"/>
        </w:rPr>
      </w:pPr>
      <w:r>
        <w:t>TUQ</w:t>
      </w:r>
      <w:r>
        <w:rPr>
          <w:vertAlign w:val="subscript"/>
        </w:rPr>
        <w:t>s</w:t>
      </w:r>
      <w:r>
        <w:tab/>
        <w:t>= TUP</w:t>
      </w:r>
      <w:r>
        <w:rPr>
          <w:vertAlign w:val="subscript"/>
        </w:rPr>
        <w:t>s</w:t>
      </w:r>
      <w:r>
        <w:t xml:space="preserve"> / </w:t>
      </w:r>
      <w:r w:rsidR="00CC39B7">
        <w:t>N</w:t>
      </w:r>
      <w:r>
        <w:t>AVAPR</w:t>
      </w:r>
      <w:r>
        <w:rPr>
          <w:vertAlign w:val="subscript"/>
        </w:rPr>
        <w:t>s</w:t>
      </w:r>
    </w:p>
    <w:p w14:paraId="7BE16F1E" w14:textId="7A24730C" w:rsidR="001F41E2" w:rsidRDefault="001F41E2" w:rsidP="00D7654B">
      <w:pPr>
        <w:pStyle w:val="Heading1"/>
      </w:pPr>
      <w:bookmarkStart w:id="32" w:name="_Ref57988250"/>
      <w:bookmarkStart w:id="33" w:name="_Toc62480198"/>
      <w:r>
        <w:rPr>
          <w:rFonts w:eastAsia="Arial"/>
        </w:rPr>
        <w:t>DTS SP Uplift category</w:t>
      </w:r>
      <w:bookmarkEnd w:id="25"/>
      <w:bookmarkEnd w:id="32"/>
      <w:bookmarkEnd w:id="33"/>
    </w:p>
    <w:p w14:paraId="25E7C4CF" w14:textId="040411A0" w:rsidR="00CD3BD9" w:rsidRDefault="003B54F5" w:rsidP="00D7654B">
      <w:pPr>
        <w:pStyle w:val="Heading2"/>
      </w:pPr>
      <w:bookmarkStart w:id="34" w:name="_Ref56417776"/>
      <w:bookmarkStart w:id="35" w:name="_Toc62480199"/>
      <w:r>
        <w:t>General</w:t>
      </w:r>
      <w:bookmarkEnd w:id="34"/>
      <w:bookmarkEnd w:id="35"/>
    </w:p>
    <w:p w14:paraId="2B24D6DB" w14:textId="73CA4F1F" w:rsidR="00C35B16" w:rsidRDefault="00C35B16" w:rsidP="00C35B16">
      <w:pPr>
        <w:pStyle w:val="ResetPara"/>
      </w:pPr>
    </w:p>
    <w:p w14:paraId="334A4A61" w14:textId="0F358681" w:rsidR="00C35B16" w:rsidRDefault="00C35B16" w:rsidP="004A37FD">
      <w:pPr>
        <w:pStyle w:val="Lista"/>
      </w:pPr>
      <w:r w:rsidRPr="00E821CB">
        <w:rPr>
          <w:i/>
          <w:iCs/>
        </w:rPr>
        <w:t xml:space="preserve">DTS SP </w:t>
      </w:r>
      <w:r w:rsidR="58A36BA3" w:rsidRPr="3028B638">
        <w:rPr>
          <w:i/>
          <w:iCs/>
        </w:rPr>
        <w:t>u</w:t>
      </w:r>
      <w:r w:rsidR="6E341FB4" w:rsidRPr="3028B638">
        <w:rPr>
          <w:i/>
          <w:iCs/>
        </w:rPr>
        <w:t>plift</w:t>
      </w:r>
      <w:r>
        <w:t xml:space="preserve"> occurs when </w:t>
      </w:r>
      <w:r w:rsidR="008F6D3C">
        <w:t>a</w:t>
      </w:r>
      <w:r w:rsidR="008440CA">
        <w:t xml:space="preserve"> </w:t>
      </w:r>
      <w:r w:rsidR="008440CA" w:rsidRPr="008440CA">
        <w:rPr>
          <w:i/>
          <w:iCs/>
        </w:rPr>
        <w:t>tran</w:t>
      </w:r>
      <w:r w:rsidR="008440CA">
        <w:rPr>
          <w:i/>
          <w:iCs/>
        </w:rPr>
        <w:t>s</w:t>
      </w:r>
      <w:r w:rsidR="008440CA" w:rsidRPr="008440CA">
        <w:rPr>
          <w:i/>
          <w:iCs/>
        </w:rPr>
        <w:t>mi</w:t>
      </w:r>
      <w:r w:rsidR="008440CA">
        <w:rPr>
          <w:i/>
          <w:iCs/>
        </w:rPr>
        <w:t>s</w:t>
      </w:r>
      <w:r w:rsidR="008440CA" w:rsidRPr="008440CA">
        <w:rPr>
          <w:i/>
          <w:iCs/>
        </w:rPr>
        <w:t>sion</w:t>
      </w:r>
      <w:r w:rsidR="008F6D3C" w:rsidRPr="008440CA">
        <w:rPr>
          <w:i/>
          <w:iCs/>
        </w:rPr>
        <w:t xml:space="preserve"> constraint</w:t>
      </w:r>
      <w:r w:rsidR="008F6D3C">
        <w:t xml:space="preserve"> is applied</w:t>
      </w:r>
      <w:r w:rsidR="001A2428">
        <w:t xml:space="preserve"> by AEMO</w:t>
      </w:r>
      <w:r w:rsidR="008F6D3C">
        <w:t xml:space="preserve"> in an </w:t>
      </w:r>
      <w:r w:rsidR="008F6D3C" w:rsidRPr="009D5338">
        <w:rPr>
          <w:i/>
          <w:iCs/>
        </w:rPr>
        <w:t>operating schedule</w:t>
      </w:r>
      <w:r w:rsidR="008F6D3C">
        <w:t xml:space="preserve"> </w:t>
      </w:r>
      <w:r w:rsidR="00CA7ACA">
        <w:t>where</w:t>
      </w:r>
      <w:r w:rsidR="003C711E">
        <w:t xml:space="preserve"> the DTS SP has failed to fulfil its obligations under the </w:t>
      </w:r>
      <w:r w:rsidR="003C711E" w:rsidRPr="003C711E">
        <w:rPr>
          <w:i/>
          <w:iCs/>
        </w:rPr>
        <w:t>service envelope agreement</w:t>
      </w:r>
      <w:r w:rsidR="003C711E">
        <w:t xml:space="preserve"> and a some or all of the </w:t>
      </w:r>
      <w:r w:rsidR="003C711E" w:rsidRPr="003C711E">
        <w:rPr>
          <w:i/>
          <w:iCs/>
        </w:rPr>
        <w:t xml:space="preserve">ancillary payments </w:t>
      </w:r>
      <w:r w:rsidR="003C711E">
        <w:t>are attributable to the failure</w:t>
      </w:r>
      <w:r w:rsidR="006B0947">
        <w:t xml:space="preserve">.  </w:t>
      </w:r>
      <w:r w:rsidR="00395DC6">
        <w:t xml:space="preserve">Where these constraints give rise to positive </w:t>
      </w:r>
      <w:r w:rsidR="00223747">
        <w:rPr>
          <w:i/>
          <w:iCs/>
        </w:rPr>
        <w:t xml:space="preserve">total uplift </w:t>
      </w:r>
      <w:r w:rsidR="00395DC6" w:rsidRPr="003A387F">
        <w:rPr>
          <w:i/>
          <w:iCs/>
        </w:rPr>
        <w:t>payments</w:t>
      </w:r>
      <w:r w:rsidR="00EA3AFA">
        <w:t xml:space="preserve"> </w:t>
      </w:r>
      <w:r w:rsidR="009E6465">
        <w:t xml:space="preserve">in the </w:t>
      </w:r>
      <w:r w:rsidR="00B7452D">
        <w:t>affected</w:t>
      </w:r>
      <w:r w:rsidR="009E6465">
        <w:t xml:space="preserve"> or subsequent o</w:t>
      </w:r>
      <w:r w:rsidR="009E6465" w:rsidRPr="009E6465">
        <w:rPr>
          <w:i/>
          <w:iCs/>
        </w:rPr>
        <w:t>perating schedules</w:t>
      </w:r>
      <w:r w:rsidR="009E6465">
        <w:t xml:space="preserve"> </w:t>
      </w:r>
      <w:r w:rsidR="00EA3AFA">
        <w:t xml:space="preserve">as determined under </w:t>
      </w:r>
      <w:r w:rsidR="000838DA">
        <w:t xml:space="preserve">section </w:t>
      </w:r>
      <w:r w:rsidR="000838DA">
        <w:rPr>
          <w:color w:val="2B579A"/>
          <w:shd w:val="clear" w:color="auto" w:fill="E6E6E6"/>
        </w:rPr>
        <w:fldChar w:fldCharType="begin"/>
      </w:r>
      <w:r w:rsidR="000838DA">
        <w:instrText xml:space="preserve"> REF _Ref57969602 \n \h </w:instrText>
      </w:r>
      <w:r w:rsidR="000838DA">
        <w:rPr>
          <w:color w:val="2B579A"/>
          <w:shd w:val="clear" w:color="auto" w:fill="E6E6E6"/>
        </w:rPr>
      </w:r>
      <w:r w:rsidR="000838DA">
        <w:rPr>
          <w:color w:val="2B579A"/>
          <w:shd w:val="clear" w:color="auto" w:fill="E6E6E6"/>
        </w:rPr>
        <w:fldChar w:fldCharType="separate"/>
      </w:r>
      <w:r w:rsidR="00BA68AF">
        <w:t>3</w:t>
      </w:r>
      <w:r w:rsidR="000838DA">
        <w:rPr>
          <w:color w:val="2B579A"/>
          <w:shd w:val="clear" w:color="auto" w:fill="E6E6E6"/>
        </w:rPr>
        <w:fldChar w:fldCharType="end"/>
      </w:r>
      <w:r w:rsidR="00395DC6">
        <w:t xml:space="preserve">, </w:t>
      </w:r>
      <w:r w:rsidR="00972C25">
        <w:t xml:space="preserve">some or all of the </w:t>
      </w:r>
      <w:r w:rsidR="008520E8">
        <w:t xml:space="preserve">positive </w:t>
      </w:r>
      <w:r w:rsidR="002511AD">
        <w:rPr>
          <w:i/>
          <w:iCs/>
        </w:rPr>
        <w:t xml:space="preserve">total uplift </w:t>
      </w:r>
      <w:r w:rsidR="008520E8" w:rsidRPr="00AC36CA">
        <w:rPr>
          <w:i/>
          <w:iCs/>
        </w:rPr>
        <w:t>payment</w:t>
      </w:r>
      <w:r w:rsidR="009E4734" w:rsidRPr="00AC36CA">
        <w:rPr>
          <w:i/>
          <w:iCs/>
        </w:rPr>
        <w:t>s</w:t>
      </w:r>
      <w:r w:rsidR="008520E8">
        <w:t xml:space="preserve"> will be recovered as </w:t>
      </w:r>
      <w:r w:rsidR="008520E8" w:rsidRPr="00AC36CA">
        <w:rPr>
          <w:i/>
          <w:iCs/>
        </w:rPr>
        <w:t xml:space="preserve">DTS SP </w:t>
      </w:r>
      <w:r w:rsidR="0B838851" w:rsidRPr="28C5B1C1">
        <w:rPr>
          <w:i/>
          <w:iCs/>
        </w:rPr>
        <w:t>u</w:t>
      </w:r>
      <w:r w:rsidR="0104CD16" w:rsidRPr="28C5B1C1">
        <w:rPr>
          <w:i/>
          <w:iCs/>
        </w:rPr>
        <w:t>plift</w:t>
      </w:r>
      <w:r w:rsidR="00777B1E">
        <w:t xml:space="preserve"> and a </w:t>
      </w:r>
      <w:r w:rsidR="00777B1E" w:rsidRPr="00777B1E">
        <w:rPr>
          <w:i/>
          <w:iCs/>
        </w:rPr>
        <w:t xml:space="preserve">DTS SP </w:t>
      </w:r>
      <w:r w:rsidR="088CFBD2" w:rsidRPr="1015C8D7">
        <w:rPr>
          <w:i/>
          <w:iCs/>
        </w:rPr>
        <w:t>u</w:t>
      </w:r>
      <w:r w:rsidR="66F65ACF" w:rsidRPr="1015C8D7">
        <w:rPr>
          <w:i/>
          <w:iCs/>
        </w:rPr>
        <w:t xml:space="preserve">plift </w:t>
      </w:r>
      <w:r w:rsidR="73B4CE82" w:rsidRPr="1015C8D7">
        <w:rPr>
          <w:i/>
          <w:iCs/>
        </w:rPr>
        <w:t>e</w:t>
      </w:r>
      <w:r w:rsidR="66F65ACF" w:rsidRPr="1015C8D7">
        <w:rPr>
          <w:i/>
          <w:iCs/>
        </w:rPr>
        <w:t>vent</w:t>
      </w:r>
      <w:r w:rsidR="00777B1E">
        <w:t xml:space="preserve"> has occurred.</w:t>
      </w:r>
    </w:p>
    <w:p w14:paraId="36554116" w14:textId="77777777" w:rsidR="00F661F4" w:rsidRDefault="00E821CB" w:rsidP="007E2C89">
      <w:pPr>
        <w:pStyle w:val="Lista"/>
      </w:pPr>
      <w:r w:rsidRPr="002C013D">
        <w:rPr>
          <w:i/>
          <w:iCs/>
        </w:rPr>
        <w:lastRenderedPageBreak/>
        <w:t xml:space="preserve">DTS SP </w:t>
      </w:r>
      <w:r w:rsidR="001F097E" w:rsidRPr="002C013D">
        <w:rPr>
          <w:i/>
          <w:iCs/>
        </w:rPr>
        <w:t>uplift</w:t>
      </w:r>
      <w:r w:rsidR="001F097E">
        <w:t xml:space="preserve"> </w:t>
      </w:r>
      <w:r w:rsidR="00F661F4">
        <w:t>must</w:t>
      </w:r>
      <w:r w:rsidR="00B05DC5">
        <w:t xml:space="preserve"> be</w:t>
      </w:r>
      <w:r w:rsidR="00F661F4">
        <w:t>:</w:t>
      </w:r>
    </w:p>
    <w:p w14:paraId="24B6B8AA" w14:textId="4E420D93" w:rsidR="00C51C49" w:rsidRDefault="00B05DC5" w:rsidP="00F661F4">
      <w:pPr>
        <w:pStyle w:val="Listi"/>
      </w:pPr>
      <w:r>
        <w:t xml:space="preserve">determined for all </w:t>
      </w:r>
      <w:r w:rsidR="00C91E3A" w:rsidRPr="00A24758">
        <w:rPr>
          <w:i/>
          <w:iCs/>
        </w:rPr>
        <w:t xml:space="preserve">operating </w:t>
      </w:r>
      <w:r w:rsidRPr="00A24758">
        <w:rPr>
          <w:i/>
          <w:iCs/>
        </w:rPr>
        <w:t>schedules</w:t>
      </w:r>
      <w:r w:rsidR="00C91E3A">
        <w:t xml:space="preserve"> and </w:t>
      </w:r>
      <w:r w:rsidR="00C91E3A" w:rsidRPr="00A24758">
        <w:rPr>
          <w:i/>
          <w:iCs/>
        </w:rPr>
        <w:t>gas days</w:t>
      </w:r>
      <w:r w:rsidR="00C91E3A">
        <w:t>.</w:t>
      </w:r>
    </w:p>
    <w:p w14:paraId="617B3C0B" w14:textId="53E73888" w:rsidR="000F1B29" w:rsidRDefault="68F9266D" w:rsidP="00F661F4">
      <w:pPr>
        <w:pStyle w:val="Listi"/>
      </w:pPr>
      <w:r>
        <w:t>d</w:t>
      </w:r>
      <w:r w:rsidR="5E824B87">
        <w:t>etermined</w:t>
      </w:r>
      <w:r w:rsidR="000F1B29">
        <w:t xml:space="preserve"> before any other </w:t>
      </w:r>
      <w:r w:rsidR="000F1B29" w:rsidRPr="00A24758">
        <w:rPr>
          <w:i/>
          <w:iCs/>
        </w:rPr>
        <w:t>uplift payment categories</w:t>
      </w:r>
    </w:p>
    <w:p w14:paraId="1BF6C8A9" w14:textId="09D8C078" w:rsidR="0069316E" w:rsidRDefault="00123E81" w:rsidP="00F661F4">
      <w:pPr>
        <w:pStyle w:val="Listi"/>
      </w:pPr>
      <w:r>
        <w:t>zero unless a</w:t>
      </w:r>
      <w:r w:rsidR="00D11F07">
        <w:t xml:space="preserve"> </w:t>
      </w:r>
      <w:r w:rsidR="00D11F07" w:rsidRPr="003C2212">
        <w:rPr>
          <w:i/>
          <w:iCs/>
        </w:rPr>
        <w:t>DTS S</w:t>
      </w:r>
      <w:r w:rsidR="00540ABF" w:rsidRPr="003C2212">
        <w:rPr>
          <w:i/>
          <w:iCs/>
        </w:rPr>
        <w:t xml:space="preserve">P </w:t>
      </w:r>
      <w:r w:rsidR="00BF2719">
        <w:rPr>
          <w:i/>
          <w:iCs/>
        </w:rPr>
        <w:t xml:space="preserve">uplift </w:t>
      </w:r>
      <w:r w:rsidR="00540ABF" w:rsidRPr="003C2212">
        <w:rPr>
          <w:i/>
          <w:iCs/>
        </w:rPr>
        <w:t>event</w:t>
      </w:r>
      <w:r w:rsidR="00540ABF">
        <w:t xml:space="preserve"> has occurred</w:t>
      </w:r>
      <w:r w:rsidR="00137D70">
        <w:t>.</w:t>
      </w:r>
    </w:p>
    <w:p w14:paraId="55DB6B30" w14:textId="76A6BD64" w:rsidR="00E821CB" w:rsidRPr="0005752A" w:rsidRDefault="00BB3F41" w:rsidP="00BB3F41">
      <w:pPr>
        <w:pStyle w:val="Listi"/>
      </w:pPr>
      <w:r>
        <w:t xml:space="preserve">taken </w:t>
      </w:r>
      <w:r w:rsidR="00137D70">
        <w:t xml:space="preserve">to be </w:t>
      </w:r>
      <w:r w:rsidR="005E1055">
        <w:t xml:space="preserve">zero </w:t>
      </w:r>
      <w:r w:rsidR="00137D70">
        <w:t xml:space="preserve">after a </w:t>
      </w:r>
      <w:r w:rsidR="00137D70">
        <w:rPr>
          <w:i/>
          <w:iCs/>
        </w:rPr>
        <w:t xml:space="preserve">DTS SP </w:t>
      </w:r>
      <w:r w:rsidR="063918E1" w:rsidRPr="45BA26BD">
        <w:rPr>
          <w:i/>
          <w:iCs/>
        </w:rPr>
        <w:t xml:space="preserve">uplift </w:t>
      </w:r>
      <w:r w:rsidR="00137D70">
        <w:rPr>
          <w:i/>
          <w:iCs/>
        </w:rPr>
        <w:t>event</w:t>
      </w:r>
      <w:r w:rsidR="00137D70">
        <w:t xml:space="preserve"> </w:t>
      </w:r>
      <w:r w:rsidR="001A7FD7">
        <w:t xml:space="preserve">until </w:t>
      </w:r>
      <w:r w:rsidR="00540ABF">
        <w:t xml:space="preserve">the </w:t>
      </w:r>
      <w:r w:rsidR="002B7E6B" w:rsidRPr="003C2212">
        <w:rPr>
          <w:i/>
          <w:iCs/>
        </w:rPr>
        <w:t>SEA operating schedule</w:t>
      </w:r>
      <w:r w:rsidR="00C91E3A">
        <w:rPr>
          <w:i/>
          <w:iCs/>
        </w:rPr>
        <w:t xml:space="preserve">s </w:t>
      </w:r>
      <w:r w:rsidR="00C91E3A" w:rsidRPr="001F097E">
        <w:t>for</w:t>
      </w:r>
      <w:r w:rsidR="001F097E">
        <w:t xml:space="preserve"> the</w:t>
      </w:r>
      <w:r w:rsidR="00C91E3A">
        <w:rPr>
          <w:i/>
          <w:iCs/>
        </w:rPr>
        <w:t xml:space="preserve"> DTS SP </w:t>
      </w:r>
      <w:r w:rsidR="2F5D445D" w:rsidRPr="7784324D">
        <w:rPr>
          <w:i/>
          <w:iCs/>
        </w:rPr>
        <w:t xml:space="preserve">uplift </w:t>
      </w:r>
      <w:r w:rsidR="79577E38" w:rsidRPr="7784324D">
        <w:rPr>
          <w:i/>
          <w:iCs/>
        </w:rPr>
        <w:t>event</w:t>
      </w:r>
      <w:r w:rsidR="002B7E6B">
        <w:t xml:space="preserve"> ha</w:t>
      </w:r>
      <w:r w:rsidR="00C91E3A">
        <w:t>ve</w:t>
      </w:r>
      <w:r w:rsidR="002B7E6B">
        <w:t xml:space="preserve"> been </w:t>
      </w:r>
      <w:r w:rsidR="009B05BF">
        <w:t>determined.</w:t>
      </w:r>
    </w:p>
    <w:p w14:paraId="365A5C11" w14:textId="223F9AA8" w:rsidR="003A387F" w:rsidRDefault="003A387F" w:rsidP="004A37FD">
      <w:pPr>
        <w:pStyle w:val="Lista"/>
      </w:pPr>
      <w:r>
        <w:t xml:space="preserve">Because only positive </w:t>
      </w:r>
      <w:r w:rsidR="00BE7D47">
        <w:rPr>
          <w:i/>
          <w:iCs/>
        </w:rPr>
        <w:t xml:space="preserve">total uplift </w:t>
      </w:r>
      <w:r w:rsidR="00BE7D47" w:rsidRPr="00AC36CA">
        <w:rPr>
          <w:i/>
          <w:iCs/>
        </w:rPr>
        <w:t>payments</w:t>
      </w:r>
      <w:r w:rsidR="00BE7D47">
        <w:t xml:space="preserve"> </w:t>
      </w:r>
      <w:r>
        <w:t xml:space="preserve">can give rise to </w:t>
      </w:r>
      <w:r w:rsidRPr="00AC36CA">
        <w:rPr>
          <w:i/>
          <w:iCs/>
        </w:rPr>
        <w:t xml:space="preserve">DTS SP </w:t>
      </w:r>
      <w:r w:rsidR="2FBBCA40" w:rsidRPr="7EEF5620">
        <w:rPr>
          <w:i/>
          <w:iCs/>
        </w:rPr>
        <w:t>u</w:t>
      </w:r>
      <w:r w:rsidR="4AEB2DC3" w:rsidRPr="7EEF5620">
        <w:rPr>
          <w:i/>
          <w:iCs/>
        </w:rPr>
        <w:t>plift</w:t>
      </w:r>
      <w:r>
        <w:rPr>
          <w:i/>
          <w:iCs/>
        </w:rPr>
        <w:t xml:space="preserve">, </w:t>
      </w:r>
      <w:r>
        <w:t xml:space="preserve">the </w:t>
      </w:r>
      <w:r w:rsidR="0005752A" w:rsidRPr="00AC36CA">
        <w:rPr>
          <w:i/>
          <w:iCs/>
        </w:rPr>
        <w:t xml:space="preserve">DTS SP </w:t>
      </w:r>
      <w:r w:rsidR="543D9BEA" w:rsidRPr="7F3B3D7B">
        <w:rPr>
          <w:i/>
          <w:iCs/>
        </w:rPr>
        <w:t>u</w:t>
      </w:r>
      <w:r w:rsidR="3E9DF1E5" w:rsidRPr="7F3B3D7B">
        <w:rPr>
          <w:i/>
          <w:iCs/>
        </w:rPr>
        <w:t>plift</w:t>
      </w:r>
      <w:r w:rsidR="0005752A">
        <w:rPr>
          <w:i/>
          <w:iCs/>
        </w:rPr>
        <w:t xml:space="preserve"> </w:t>
      </w:r>
      <w:r w:rsidR="0005752A">
        <w:t>must also always be</w:t>
      </w:r>
      <w:r w:rsidR="007446FC">
        <w:t xml:space="preserve"> zero or</w:t>
      </w:r>
      <w:r w:rsidR="0005752A">
        <w:t xml:space="preserve"> positive.</w:t>
      </w:r>
    </w:p>
    <w:p w14:paraId="62043323" w14:textId="7925FBDE" w:rsidR="008520E8" w:rsidRDefault="00FB2F57" w:rsidP="008520E8">
      <w:pPr>
        <w:pStyle w:val="Heading2"/>
      </w:pPr>
      <w:bookmarkStart w:id="36" w:name="_Toc62480200"/>
      <w:r>
        <w:t>Determining the DTS SP Uplift</w:t>
      </w:r>
      <w:r w:rsidR="000B3C71" w:rsidRPr="000B3C71">
        <w:t xml:space="preserve"> </w:t>
      </w:r>
      <w:r w:rsidR="000B3C71">
        <w:t>quantity</w:t>
      </w:r>
      <w:bookmarkEnd w:id="36"/>
    </w:p>
    <w:p w14:paraId="74CD64CE" w14:textId="77777777" w:rsidR="00094A3F" w:rsidRDefault="00094A3F" w:rsidP="00740D99">
      <w:pPr>
        <w:pStyle w:val="ResetPara"/>
      </w:pPr>
    </w:p>
    <w:p w14:paraId="444D4BEE" w14:textId="482A6B44" w:rsidR="00FB2F57" w:rsidRDefault="00D75CA7" w:rsidP="0096529F">
      <w:pPr>
        <w:pStyle w:val="Lista"/>
      </w:pPr>
      <w:r>
        <w:t xml:space="preserve">When AEMO determines that a </w:t>
      </w:r>
      <w:r w:rsidRPr="00777B1E">
        <w:rPr>
          <w:i/>
          <w:iCs/>
        </w:rPr>
        <w:t>DTS SP</w:t>
      </w:r>
      <w:r w:rsidR="00777B1E" w:rsidRPr="00777B1E">
        <w:rPr>
          <w:i/>
          <w:iCs/>
        </w:rPr>
        <w:t xml:space="preserve"> </w:t>
      </w:r>
      <w:r w:rsidR="5FB65332" w:rsidRPr="28F50D23">
        <w:rPr>
          <w:i/>
          <w:iCs/>
        </w:rPr>
        <w:t>u</w:t>
      </w:r>
      <w:r w:rsidR="66F65ACF" w:rsidRPr="28F50D23">
        <w:rPr>
          <w:i/>
          <w:iCs/>
        </w:rPr>
        <w:t>plift</w:t>
      </w:r>
      <w:r w:rsidR="6042BB50" w:rsidRPr="28F50D23">
        <w:rPr>
          <w:i/>
          <w:iCs/>
        </w:rPr>
        <w:t xml:space="preserve"> </w:t>
      </w:r>
      <w:r w:rsidR="3E6DFCD5" w:rsidRPr="28F50D23">
        <w:rPr>
          <w:i/>
          <w:iCs/>
        </w:rPr>
        <w:t>e</w:t>
      </w:r>
      <w:r w:rsidR="6042BB50" w:rsidRPr="28F50D23">
        <w:rPr>
          <w:i/>
          <w:iCs/>
        </w:rPr>
        <w:t>vent</w:t>
      </w:r>
      <w:r w:rsidR="00777B1E" w:rsidRPr="00777B1E">
        <w:rPr>
          <w:i/>
          <w:iCs/>
        </w:rPr>
        <w:t xml:space="preserve"> </w:t>
      </w:r>
      <w:r w:rsidR="00777B1E">
        <w:t xml:space="preserve">has </w:t>
      </w:r>
      <w:r w:rsidR="00C33B41">
        <w:t xml:space="preserve">occurred, AEMO </w:t>
      </w:r>
      <w:r w:rsidR="008C7DD6">
        <w:t>must</w:t>
      </w:r>
      <w:r w:rsidR="00C33B41">
        <w:t xml:space="preserve"> use the </w:t>
      </w:r>
      <w:r w:rsidR="00C33B41">
        <w:rPr>
          <w:i/>
          <w:iCs/>
        </w:rPr>
        <w:t>common model</w:t>
      </w:r>
      <w:r w:rsidR="00C33B41">
        <w:t xml:space="preserve"> </w:t>
      </w:r>
      <w:commentRangeStart w:id="37"/>
      <w:r w:rsidR="004C569C">
        <w:t>applicable to</w:t>
      </w:r>
      <w:r w:rsidR="005144C9">
        <w:t xml:space="preserve"> the </w:t>
      </w:r>
      <w:r w:rsidR="002E3E99">
        <w:t xml:space="preserve">relevant </w:t>
      </w:r>
      <w:r w:rsidR="002E3E99">
        <w:rPr>
          <w:i/>
          <w:iCs/>
        </w:rPr>
        <w:t xml:space="preserve">gas day </w:t>
      </w:r>
      <w:commentRangeEnd w:id="37"/>
      <w:r w:rsidR="00FA52D5">
        <w:rPr>
          <w:rStyle w:val="CommentReference"/>
          <w:rFonts w:eastAsia="Calibri" w:cs="Times New Roman"/>
        </w:rPr>
        <w:commentReference w:id="37"/>
      </w:r>
      <w:r w:rsidR="00A97A37">
        <w:t xml:space="preserve">to </w:t>
      </w:r>
      <w:r w:rsidR="000D07F9">
        <w:t>determine</w:t>
      </w:r>
      <w:r w:rsidR="00A97A37">
        <w:t xml:space="preserve"> the</w:t>
      </w:r>
      <w:r w:rsidR="004B014C" w:rsidRPr="004B014C">
        <w:t xml:space="preserve"> </w:t>
      </w:r>
      <w:r w:rsidR="004B014C">
        <w:t>expected</w:t>
      </w:r>
      <w:r w:rsidR="00A97A37">
        <w:t xml:space="preserve"> </w:t>
      </w:r>
      <w:r w:rsidR="00DC397D" w:rsidRPr="00F577C2">
        <w:rPr>
          <w:i/>
          <w:iCs/>
        </w:rPr>
        <w:t xml:space="preserve">transmission </w:t>
      </w:r>
      <w:r w:rsidR="00A97A37" w:rsidRPr="00F577C2">
        <w:rPr>
          <w:i/>
          <w:iCs/>
        </w:rPr>
        <w:t>constraint</w:t>
      </w:r>
      <w:r w:rsidR="00A97A37">
        <w:t xml:space="preserve"> </w:t>
      </w:r>
      <w:r w:rsidR="009C213B">
        <w:t xml:space="preserve">that would have applied had the DTS been operating at </w:t>
      </w:r>
      <w:r w:rsidR="009C213B" w:rsidRPr="00F577C2">
        <w:rPr>
          <w:i/>
          <w:iCs/>
        </w:rPr>
        <w:t>SEA cap</w:t>
      </w:r>
      <w:r w:rsidR="00DD335E" w:rsidRPr="00F577C2">
        <w:rPr>
          <w:i/>
          <w:iCs/>
        </w:rPr>
        <w:t>a</w:t>
      </w:r>
      <w:r w:rsidR="009C213B" w:rsidRPr="00F577C2">
        <w:rPr>
          <w:i/>
          <w:iCs/>
        </w:rPr>
        <w:t>city</w:t>
      </w:r>
      <w:r w:rsidR="00EA5C37">
        <w:t xml:space="preserve"> rather than the </w:t>
      </w:r>
      <w:r w:rsidR="00F15848">
        <w:t xml:space="preserve">actual </w:t>
      </w:r>
      <w:r w:rsidR="00DC397D" w:rsidRPr="00D63915">
        <w:rPr>
          <w:i/>
        </w:rPr>
        <w:t>t</w:t>
      </w:r>
      <w:r w:rsidR="00DC397D" w:rsidRPr="00DC397D">
        <w:rPr>
          <w:i/>
          <w:iCs/>
        </w:rPr>
        <w:t xml:space="preserve">ransmission </w:t>
      </w:r>
      <w:r w:rsidR="00EA5C37" w:rsidRPr="00DC397D">
        <w:rPr>
          <w:i/>
          <w:iCs/>
        </w:rPr>
        <w:t>constrain</w:t>
      </w:r>
      <w:r w:rsidR="00F15848" w:rsidRPr="00DC397D">
        <w:rPr>
          <w:i/>
          <w:iCs/>
        </w:rPr>
        <w:t>t</w:t>
      </w:r>
      <w:r w:rsidR="00EA5C37">
        <w:t xml:space="preserve"> used in producing </w:t>
      </w:r>
      <w:r w:rsidR="00F15848">
        <w:t>t</w:t>
      </w:r>
      <w:r w:rsidR="00EA5C37">
        <w:t xml:space="preserve">he </w:t>
      </w:r>
      <w:r w:rsidR="00EA5C37">
        <w:rPr>
          <w:i/>
          <w:iCs/>
        </w:rPr>
        <w:t>operating schedule</w:t>
      </w:r>
      <w:r w:rsidR="00EA5C37">
        <w:t>.</w:t>
      </w:r>
    </w:p>
    <w:p w14:paraId="5447B39A" w14:textId="77C84B05" w:rsidR="008241D9" w:rsidRDefault="00BF5214" w:rsidP="002E5CC8">
      <w:pPr>
        <w:pStyle w:val="Lista"/>
      </w:pPr>
      <w:r>
        <w:t xml:space="preserve">AEMO must then use the </w:t>
      </w:r>
      <w:r w:rsidR="00FF6360">
        <w:t>expected con</w:t>
      </w:r>
      <w:r w:rsidR="008B0AA7">
        <w:t xml:space="preserve">straint </w:t>
      </w:r>
      <w:r w:rsidR="00490BC8">
        <w:t xml:space="preserve">to </w:t>
      </w:r>
      <w:r>
        <w:t xml:space="preserve">manually </w:t>
      </w:r>
      <w:r w:rsidR="00490BC8">
        <w:t xml:space="preserve">produce </w:t>
      </w:r>
      <w:r w:rsidR="007333ED">
        <w:t xml:space="preserve">an </w:t>
      </w:r>
      <w:r w:rsidR="00BD45CE" w:rsidRPr="001E2347">
        <w:rPr>
          <w:i/>
          <w:iCs/>
        </w:rPr>
        <w:t xml:space="preserve">SEA </w:t>
      </w:r>
      <w:r w:rsidR="001E2347" w:rsidRPr="001E2347">
        <w:rPr>
          <w:i/>
          <w:iCs/>
        </w:rPr>
        <w:t xml:space="preserve">operating </w:t>
      </w:r>
      <w:r w:rsidR="00BD45CE" w:rsidRPr="001E2347">
        <w:rPr>
          <w:i/>
          <w:iCs/>
        </w:rPr>
        <w:t>schedule</w:t>
      </w:r>
      <w:r w:rsidR="007333ED">
        <w:t xml:space="preserve"> </w:t>
      </w:r>
      <w:r w:rsidR="001E3600">
        <w:t>and a</w:t>
      </w:r>
      <w:r w:rsidR="00C21696">
        <w:t>n</w:t>
      </w:r>
      <w:r w:rsidR="001E3600">
        <w:t xml:space="preserve"> </w:t>
      </w:r>
      <w:r w:rsidR="001E3600" w:rsidRPr="001E3600">
        <w:rPr>
          <w:i/>
          <w:iCs/>
        </w:rPr>
        <w:t>SEA pricing schedule</w:t>
      </w:r>
      <w:r w:rsidR="001E3600">
        <w:t xml:space="preserve"> </w:t>
      </w:r>
      <w:r w:rsidR="007333ED">
        <w:t xml:space="preserve">for </w:t>
      </w:r>
      <w:r w:rsidR="00C17C2B">
        <w:t xml:space="preserve">the </w:t>
      </w:r>
      <w:r w:rsidR="00422089">
        <w:t xml:space="preserve">affected </w:t>
      </w:r>
      <w:r w:rsidR="00C84B51" w:rsidRPr="00C84B51">
        <w:rPr>
          <w:i/>
          <w:iCs/>
        </w:rPr>
        <w:t xml:space="preserve">operating </w:t>
      </w:r>
      <w:r w:rsidR="00422089" w:rsidRPr="00C84B51">
        <w:rPr>
          <w:i/>
          <w:iCs/>
        </w:rPr>
        <w:t>schedule</w:t>
      </w:r>
      <w:r w:rsidR="00422089">
        <w:t xml:space="preserve"> and all subsequent </w:t>
      </w:r>
      <w:r w:rsidR="00C84B51" w:rsidRPr="00C84B51">
        <w:rPr>
          <w:i/>
          <w:iCs/>
        </w:rPr>
        <w:t>operating schedule</w:t>
      </w:r>
      <w:r w:rsidR="00422089" w:rsidRPr="00C84B51">
        <w:rPr>
          <w:i/>
          <w:iCs/>
        </w:rPr>
        <w:t>s</w:t>
      </w:r>
      <w:r w:rsidR="00422089">
        <w:t xml:space="preserve"> for the </w:t>
      </w:r>
      <w:r w:rsidR="00422089" w:rsidRPr="00C84B51">
        <w:rPr>
          <w:i/>
          <w:iCs/>
        </w:rPr>
        <w:t>gas day</w:t>
      </w:r>
      <w:r w:rsidR="00422089">
        <w:t>.</w:t>
      </w:r>
      <w:r w:rsidR="00D463FE">
        <w:t xml:space="preserve">  All other inputs to the </w:t>
      </w:r>
      <w:r w:rsidR="00D463FE" w:rsidRPr="001E2347">
        <w:rPr>
          <w:i/>
          <w:iCs/>
        </w:rPr>
        <w:t>SEA operating schedule</w:t>
      </w:r>
      <w:r w:rsidR="003F3803">
        <w:rPr>
          <w:i/>
          <w:iCs/>
        </w:rPr>
        <w:t>s</w:t>
      </w:r>
      <w:r w:rsidR="00D463FE">
        <w:t xml:space="preserve"> </w:t>
      </w:r>
      <w:r w:rsidR="7700669A">
        <w:t xml:space="preserve">and </w:t>
      </w:r>
      <w:r w:rsidR="00C441AD" w:rsidRPr="001E3600">
        <w:rPr>
          <w:i/>
          <w:iCs/>
        </w:rPr>
        <w:t>SEA pricing schedule</w:t>
      </w:r>
      <w:r w:rsidR="00C441AD">
        <w:rPr>
          <w:i/>
          <w:iCs/>
        </w:rPr>
        <w:t>s</w:t>
      </w:r>
      <w:r w:rsidR="00C441AD">
        <w:t xml:space="preserve"> </w:t>
      </w:r>
      <w:r w:rsidR="00D463FE">
        <w:t xml:space="preserve">are unchanged </w:t>
      </w:r>
      <w:r w:rsidR="00B21F20">
        <w:t>from</w:t>
      </w:r>
      <w:r w:rsidR="00D463FE">
        <w:t xml:space="preserve"> those </w:t>
      </w:r>
      <w:r w:rsidR="00183AF2">
        <w:t xml:space="preserve">used in </w:t>
      </w:r>
      <w:r w:rsidR="6C0EB432">
        <w:t xml:space="preserve">producing </w:t>
      </w:r>
      <w:r w:rsidR="00183AF2">
        <w:t xml:space="preserve">the </w:t>
      </w:r>
      <w:r w:rsidR="00183AF2">
        <w:rPr>
          <w:i/>
          <w:iCs/>
        </w:rPr>
        <w:t>operating schedul</w:t>
      </w:r>
      <w:r w:rsidR="00C5627C">
        <w:rPr>
          <w:i/>
          <w:iCs/>
        </w:rPr>
        <w:t>es</w:t>
      </w:r>
      <w:r w:rsidR="00B21F20">
        <w:t xml:space="preserve"> published </w:t>
      </w:r>
      <w:r w:rsidR="00C5627C">
        <w:t xml:space="preserve">on the relevant </w:t>
      </w:r>
      <w:r w:rsidR="00C5627C" w:rsidRPr="000A2A1E">
        <w:rPr>
          <w:i/>
          <w:iCs/>
        </w:rPr>
        <w:t>gas day</w:t>
      </w:r>
      <w:r w:rsidR="00183AF2">
        <w:rPr>
          <w:i/>
          <w:iCs/>
        </w:rPr>
        <w:t>.</w:t>
      </w:r>
      <w:r w:rsidR="00CF71C1">
        <w:t xml:space="preserve"> </w:t>
      </w:r>
    </w:p>
    <w:p w14:paraId="321AA687" w14:textId="27FAA67A" w:rsidR="007E0B90" w:rsidRDefault="007E0B90" w:rsidP="002E5CC8">
      <w:pPr>
        <w:pStyle w:val="Lista"/>
      </w:pPr>
      <w:r>
        <w:t>The</w:t>
      </w:r>
      <w:r w:rsidR="002F64F7">
        <w:t xml:space="preserve"> final</w:t>
      </w:r>
      <w:r>
        <w:t xml:space="preserve"> </w:t>
      </w:r>
      <w:r w:rsidRPr="002E0D05">
        <w:rPr>
          <w:i/>
          <w:iCs/>
        </w:rPr>
        <w:t>DTS SP uplift quantity</w:t>
      </w:r>
      <w:r>
        <w:t xml:space="preserve"> for all schedules before the </w:t>
      </w:r>
      <w:r w:rsidR="00143EED">
        <w:t xml:space="preserve">first </w:t>
      </w:r>
      <w:r>
        <w:t>affected</w:t>
      </w:r>
      <w:r w:rsidR="007D294E">
        <w:t xml:space="preserve"> </w:t>
      </w:r>
      <w:r w:rsidR="007D294E" w:rsidRPr="007D294E">
        <w:rPr>
          <w:i/>
          <w:iCs/>
        </w:rPr>
        <w:t>operating</w:t>
      </w:r>
      <w:r w:rsidRPr="007D294E">
        <w:rPr>
          <w:i/>
          <w:iCs/>
        </w:rPr>
        <w:t xml:space="preserve"> schedule</w:t>
      </w:r>
      <w:r>
        <w:t xml:space="preserve"> </w:t>
      </w:r>
      <w:r w:rsidR="00C74333">
        <w:t xml:space="preserve">in a </w:t>
      </w:r>
      <w:r w:rsidR="00C74333" w:rsidRPr="00C74333">
        <w:rPr>
          <w:i/>
          <w:iCs/>
        </w:rPr>
        <w:t>gas day</w:t>
      </w:r>
      <w:r w:rsidR="00C74333">
        <w:t xml:space="preserve"> </w:t>
      </w:r>
      <w:r>
        <w:t>is zero.</w:t>
      </w:r>
    </w:p>
    <w:p w14:paraId="07F26DE0" w14:textId="77777777" w:rsidR="00BA68AF" w:rsidRDefault="00613170" w:rsidP="00BA68AF">
      <w:pPr>
        <w:pStyle w:val="BodyText"/>
        <w:ind w:left="1276"/>
      </w:pPr>
      <w:r>
        <w:t>Final QD</w:t>
      </w:r>
      <w:r w:rsidRPr="00365602">
        <w:rPr>
          <w:vertAlign w:val="subscript"/>
        </w:rPr>
        <w:t>s</w:t>
      </w:r>
      <w:r>
        <w:tab/>
      </w:r>
      <w:r>
        <w:tab/>
        <w:t xml:space="preserve">= </w:t>
      </w:r>
      <w:r w:rsidR="00552AD5">
        <w:t>0</w:t>
      </w:r>
    </w:p>
    <w:p w14:paraId="31993BC7" w14:textId="6C9D30B5" w:rsidR="0060655D" w:rsidRDefault="007D2FED" w:rsidP="002E5CC8">
      <w:pPr>
        <w:pStyle w:val="Lista"/>
      </w:pPr>
      <w:r>
        <w:t xml:space="preserve">The </w:t>
      </w:r>
      <w:r w:rsidRPr="002E0D05">
        <w:rPr>
          <w:i/>
          <w:iCs/>
        </w:rPr>
        <w:t xml:space="preserve">DTS SP </w:t>
      </w:r>
      <w:r w:rsidR="007E3B19" w:rsidRPr="002E0D05">
        <w:rPr>
          <w:i/>
          <w:iCs/>
        </w:rPr>
        <w:t>uplift quantity</w:t>
      </w:r>
      <w:r w:rsidR="007E3B19">
        <w:t xml:space="preserve"> </w:t>
      </w:r>
      <w:r w:rsidR="00424836">
        <w:t>must be</w:t>
      </w:r>
      <w:r w:rsidR="007E3B19">
        <w:t xml:space="preserve"> determined for each affected schedule </w:t>
      </w:r>
      <w:r w:rsidR="008723E0">
        <w:t>in a manner consistent with the</w:t>
      </w:r>
      <w:r w:rsidR="00135DE6">
        <w:t xml:space="preserve"> determination of</w:t>
      </w:r>
      <w:r w:rsidR="003F74FE">
        <w:t xml:space="preserve"> </w:t>
      </w:r>
      <w:r w:rsidR="007C0A5A">
        <w:rPr>
          <w:i/>
          <w:iCs/>
        </w:rPr>
        <w:t>ancillary payments</w:t>
      </w:r>
      <w:r w:rsidR="00F76506">
        <w:rPr>
          <w:i/>
          <w:iCs/>
        </w:rPr>
        <w:t xml:space="preserve"> </w:t>
      </w:r>
      <w:r w:rsidR="005943E5">
        <w:t xml:space="preserve">in the </w:t>
      </w:r>
      <w:r w:rsidR="005943E5">
        <w:rPr>
          <w:i/>
          <w:iCs/>
        </w:rPr>
        <w:t xml:space="preserve">ancillary payment </w:t>
      </w:r>
      <w:r w:rsidR="00526A44">
        <w:rPr>
          <w:i/>
          <w:iCs/>
        </w:rPr>
        <w:t>procedures but</w:t>
      </w:r>
      <w:r w:rsidR="00F76506" w:rsidRPr="00CB4EF0">
        <w:t xml:space="preserve"> simplified to ignore the impacts of </w:t>
      </w:r>
      <w:r w:rsidR="00F76506">
        <w:rPr>
          <w:i/>
          <w:iCs/>
        </w:rPr>
        <w:t xml:space="preserve">AGINO </w:t>
      </w:r>
      <w:r w:rsidR="00F76506" w:rsidRPr="00CB4EF0">
        <w:t>and</w:t>
      </w:r>
      <w:r w:rsidR="00F76506">
        <w:rPr>
          <w:i/>
          <w:iCs/>
        </w:rPr>
        <w:t xml:space="preserve"> AGWINO </w:t>
      </w:r>
      <w:r w:rsidR="004420D6">
        <w:t>(</w:t>
      </w:r>
      <w:r w:rsidR="00F76506">
        <w:t xml:space="preserve">which </w:t>
      </w:r>
      <w:r w:rsidR="004420D6">
        <w:t xml:space="preserve">only </w:t>
      </w:r>
      <w:r w:rsidR="00F76506">
        <w:t xml:space="preserve">affect the payment of </w:t>
      </w:r>
      <w:r w:rsidR="00F76506" w:rsidRPr="008B0441">
        <w:rPr>
          <w:i/>
        </w:rPr>
        <w:t xml:space="preserve">ancillary payments </w:t>
      </w:r>
      <w:r w:rsidR="00F76506">
        <w:t xml:space="preserve">to </w:t>
      </w:r>
      <w:r w:rsidR="00F76506">
        <w:rPr>
          <w:i/>
          <w:iCs/>
        </w:rPr>
        <w:t>Market Participants</w:t>
      </w:r>
      <w:r w:rsidR="004420D6">
        <w:t>)</w:t>
      </w:r>
      <w:r w:rsidR="00297F70">
        <w:t xml:space="preserve">.  </w:t>
      </w:r>
      <w:r w:rsidR="00D059F2">
        <w:t xml:space="preserve">The </w:t>
      </w:r>
      <w:r w:rsidR="00D059F2" w:rsidRPr="000B7ED8">
        <w:rPr>
          <w:i/>
          <w:iCs/>
        </w:rPr>
        <w:t xml:space="preserve">DTS SP uplift </w:t>
      </w:r>
      <w:r w:rsidR="000B7ED8" w:rsidRPr="000B7ED8">
        <w:rPr>
          <w:i/>
          <w:iCs/>
        </w:rPr>
        <w:t>quantity</w:t>
      </w:r>
      <w:r w:rsidR="000B7ED8">
        <w:t xml:space="preserve"> is also adjusted </w:t>
      </w:r>
      <w:r w:rsidR="00807920">
        <w:t>using</w:t>
      </w:r>
      <w:r w:rsidR="00524D71">
        <w:t xml:space="preserve"> </w:t>
      </w:r>
      <w:r w:rsidR="00807920">
        <w:t>th</w:t>
      </w:r>
      <w:r w:rsidR="00524D71">
        <w:t>e</w:t>
      </w:r>
      <w:r w:rsidR="00807920">
        <w:t xml:space="preserve"> same </w:t>
      </w:r>
      <w:r w:rsidR="00A64CF2">
        <w:t>principles</w:t>
      </w:r>
      <w:r w:rsidR="00807920">
        <w:t xml:space="preserve"> </w:t>
      </w:r>
      <w:r w:rsidR="00447CAE">
        <w:t xml:space="preserve">to </w:t>
      </w:r>
      <w:r w:rsidR="00223B78">
        <w:t xml:space="preserve">those </w:t>
      </w:r>
      <w:r w:rsidR="00447CAE">
        <w:t xml:space="preserve">used to determine </w:t>
      </w:r>
      <w:r w:rsidR="00633E2E" w:rsidRPr="00EA2CD3">
        <w:rPr>
          <w:i/>
          <w:iCs/>
        </w:rPr>
        <w:t>total</w:t>
      </w:r>
      <w:r w:rsidR="00633E2E">
        <w:t xml:space="preserve"> </w:t>
      </w:r>
      <w:r w:rsidR="00633E2E" w:rsidRPr="00B420FC">
        <w:rPr>
          <w:i/>
          <w:iCs/>
        </w:rPr>
        <w:t xml:space="preserve">uplift </w:t>
      </w:r>
      <w:r w:rsidR="00BC65A5" w:rsidRPr="00B420FC">
        <w:rPr>
          <w:i/>
          <w:iCs/>
        </w:rPr>
        <w:t>payment amounts</w:t>
      </w:r>
      <w:r w:rsidR="00BC65A5">
        <w:t xml:space="preserve"> </w:t>
      </w:r>
      <w:r w:rsidR="00135DE6">
        <w:t>in</w:t>
      </w:r>
      <w:r w:rsidR="00B420FC">
        <w:t xml:space="preserve"> section </w:t>
      </w:r>
      <w:r w:rsidR="00B420FC">
        <w:rPr>
          <w:color w:val="2B579A"/>
          <w:shd w:val="clear" w:color="auto" w:fill="E6E6E6"/>
        </w:rPr>
        <w:fldChar w:fldCharType="begin"/>
      </w:r>
      <w:r w:rsidR="00B420FC">
        <w:instrText xml:space="preserve"> REF _Ref57967283 \n \h </w:instrText>
      </w:r>
      <w:r w:rsidR="00B420FC">
        <w:rPr>
          <w:color w:val="2B579A"/>
          <w:shd w:val="clear" w:color="auto" w:fill="E6E6E6"/>
        </w:rPr>
      </w:r>
      <w:r w:rsidR="00B420FC">
        <w:rPr>
          <w:color w:val="2B579A"/>
          <w:shd w:val="clear" w:color="auto" w:fill="E6E6E6"/>
        </w:rPr>
        <w:fldChar w:fldCharType="separate"/>
      </w:r>
      <w:r w:rsidR="00BA68AF">
        <w:t>3.2</w:t>
      </w:r>
      <w:r w:rsidR="00B420FC">
        <w:rPr>
          <w:color w:val="2B579A"/>
          <w:shd w:val="clear" w:color="auto" w:fill="E6E6E6"/>
        </w:rPr>
        <w:fldChar w:fldCharType="end"/>
      </w:r>
      <w:r w:rsidR="00946225">
        <w:t>.</w:t>
      </w:r>
    </w:p>
    <w:p w14:paraId="0D83DEFE" w14:textId="4D611807" w:rsidR="007A1EFC" w:rsidRDefault="00100E61" w:rsidP="00E4104F">
      <w:pPr>
        <w:pStyle w:val="Listi"/>
      </w:pPr>
      <w:r>
        <w:t>De</w:t>
      </w:r>
      <w:r w:rsidR="00EF7DB2">
        <w:t>te</w:t>
      </w:r>
      <w:r>
        <w:t xml:space="preserve">rmine </w:t>
      </w:r>
      <w:r w:rsidR="00C63612">
        <w:t xml:space="preserve">for the </w:t>
      </w:r>
      <w:r w:rsidR="00C63612" w:rsidRPr="00076BC0">
        <w:rPr>
          <w:i/>
          <w:iCs/>
        </w:rPr>
        <w:t>operating schedule</w:t>
      </w:r>
      <w:r w:rsidR="00C63612">
        <w:t xml:space="preserve"> and the </w:t>
      </w:r>
      <w:r w:rsidR="00C63612" w:rsidRPr="00076BC0">
        <w:rPr>
          <w:i/>
          <w:iCs/>
        </w:rPr>
        <w:t xml:space="preserve">SEA operating </w:t>
      </w:r>
      <w:r w:rsidR="00C63612">
        <w:rPr>
          <w:i/>
          <w:iCs/>
        </w:rPr>
        <w:t xml:space="preserve">schedule, </w:t>
      </w:r>
      <w:r w:rsidR="00E206EE">
        <w:t xml:space="preserve">the total of </w:t>
      </w:r>
      <w:r w:rsidR="007D6135">
        <w:t xml:space="preserve">simple </w:t>
      </w:r>
      <w:r>
        <w:t xml:space="preserve">constrained </w:t>
      </w:r>
      <w:r w:rsidR="00CE6979">
        <w:t>on</w:t>
      </w:r>
      <w:r>
        <w:t xml:space="preserve"> injections </w:t>
      </w:r>
      <w:r w:rsidR="003E4991">
        <w:t xml:space="preserve">and withdrawals at each </w:t>
      </w:r>
      <w:r w:rsidR="007971D3" w:rsidRPr="005742DB">
        <w:rPr>
          <w:i/>
          <w:iCs/>
        </w:rPr>
        <w:t xml:space="preserve">controllable </w:t>
      </w:r>
      <w:r w:rsidR="005742DB" w:rsidRPr="005742DB">
        <w:rPr>
          <w:i/>
          <w:iCs/>
        </w:rPr>
        <w:t xml:space="preserve">system </w:t>
      </w:r>
      <w:r w:rsidR="007971D3" w:rsidRPr="005742DB">
        <w:rPr>
          <w:i/>
          <w:iCs/>
        </w:rPr>
        <w:t>injection point</w:t>
      </w:r>
      <w:r w:rsidR="007971D3">
        <w:t xml:space="preserve"> or </w:t>
      </w:r>
      <w:r w:rsidR="007971D3" w:rsidRPr="005742DB">
        <w:rPr>
          <w:i/>
          <w:iCs/>
        </w:rPr>
        <w:t xml:space="preserve">controllable </w:t>
      </w:r>
      <w:r w:rsidR="005742DB">
        <w:rPr>
          <w:i/>
          <w:iCs/>
        </w:rPr>
        <w:t xml:space="preserve">system </w:t>
      </w:r>
      <w:r w:rsidR="007971D3" w:rsidRPr="005742DB">
        <w:rPr>
          <w:i/>
          <w:iCs/>
        </w:rPr>
        <w:t>withdrawal point</w:t>
      </w:r>
      <w:r w:rsidR="00D22A50">
        <w:rPr>
          <w:i/>
          <w:iCs/>
        </w:rPr>
        <w:t>,</w:t>
      </w:r>
      <w:r w:rsidR="00EC5D2C">
        <w:t xml:space="preserve"> </w:t>
      </w:r>
      <w:r w:rsidR="00E4104F">
        <w:t xml:space="preserve">as the </w:t>
      </w:r>
      <w:r w:rsidR="00D44E78">
        <w:t xml:space="preserve">maximum of zero and </w:t>
      </w:r>
      <w:r w:rsidR="00A6568E">
        <w:t xml:space="preserve">the </w:t>
      </w:r>
      <w:r w:rsidR="00E4104F">
        <w:t xml:space="preserve">difference between the quantity scheduled at that </w:t>
      </w:r>
      <w:r w:rsidR="00041117" w:rsidRPr="00041117">
        <w:rPr>
          <w:i/>
          <w:iCs/>
        </w:rPr>
        <w:t xml:space="preserve">system </w:t>
      </w:r>
      <w:r w:rsidR="00E4104F" w:rsidRPr="00041117">
        <w:rPr>
          <w:i/>
          <w:iCs/>
        </w:rPr>
        <w:t>point</w:t>
      </w:r>
      <w:r w:rsidR="00E4104F">
        <w:t xml:space="preserve"> </w:t>
      </w:r>
      <w:r w:rsidR="00DC7322">
        <w:t xml:space="preserve">for the </w:t>
      </w:r>
      <w:r w:rsidR="00DC7322" w:rsidRPr="00A86848">
        <w:rPr>
          <w:i/>
        </w:rPr>
        <w:t>operating schedule</w:t>
      </w:r>
      <w:r w:rsidR="00DC7322">
        <w:t xml:space="preserve"> and the </w:t>
      </w:r>
      <w:r w:rsidR="00DC7322" w:rsidRPr="00A86848">
        <w:rPr>
          <w:i/>
        </w:rPr>
        <w:t>pricing schedule</w:t>
      </w:r>
      <w:r w:rsidR="00FA539E">
        <w:t>.</w:t>
      </w:r>
    </w:p>
    <w:p w14:paraId="0938C90B" w14:textId="677DDFAB" w:rsidR="00E20339" w:rsidRDefault="008B54CA" w:rsidP="00E20339">
      <w:pPr>
        <w:pStyle w:val="ListContinue3"/>
        <w:ind w:left="1843"/>
      </w:pPr>
      <w:r>
        <w:t>Simple CUI</w:t>
      </w:r>
      <w:r w:rsidR="00264EB9">
        <w:t>W</w:t>
      </w:r>
      <w:r w:rsidR="00202DA3" w:rsidRPr="00682015">
        <w:rPr>
          <w:vertAlign w:val="subscript"/>
        </w:rPr>
        <w:t>s</w:t>
      </w:r>
      <w:r w:rsidR="001D732D">
        <w:tab/>
      </w:r>
      <w:r w:rsidR="00ED1483">
        <w:t xml:space="preserve">= </w:t>
      </w:r>
      <w:r w:rsidR="00526A44">
        <w:t>Max [</w:t>
      </w:r>
      <w:r w:rsidR="0026117F">
        <w:t>0,</w:t>
      </w:r>
      <w:r w:rsidR="00D44E78">
        <w:t xml:space="preserve"> </w:t>
      </w:r>
      <w:r w:rsidR="00125264">
        <w:t>Q</w:t>
      </w:r>
      <w:r w:rsidR="00A5407A">
        <w:rPr>
          <w:vertAlign w:val="subscript"/>
        </w:rPr>
        <w:t>s</w:t>
      </w:r>
      <w:r w:rsidR="00A5407A">
        <w:rPr>
          <w:vertAlign w:val="superscript"/>
        </w:rPr>
        <w:t>OS</w:t>
      </w:r>
      <w:r w:rsidR="00886496">
        <w:t xml:space="preserve"> </w:t>
      </w:r>
      <w:r w:rsidR="00202DA3">
        <w:t>–</w:t>
      </w:r>
      <w:r w:rsidR="002B21A3">
        <w:t xml:space="preserve"> Q</w:t>
      </w:r>
      <w:r w:rsidR="00202DA3">
        <w:rPr>
          <w:vertAlign w:val="subscript"/>
        </w:rPr>
        <w:t>s</w:t>
      </w:r>
      <w:r w:rsidR="002B21A3" w:rsidRPr="002B21A3">
        <w:rPr>
          <w:vertAlign w:val="superscript"/>
        </w:rPr>
        <w:t>PS</w:t>
      </w:r>
      <w:r w:rsidR="00676E83">
        <w:t>]</w:t>
      </w:r>
      <w:r w:rsidR="00CC3945">
        <w:t xml:space="preserve"> summed for all system points</w:t>
      </w:r>
    </w:p>
    <w:p w14:paraId="437A138F" w14:textId="7F39C11D" w:rsidR="002B21A3" w:rsidRDefault="00264EB9" w:rsidP="00E20339">
      <w:pPr>
        <w:pStyle w:val="ListContinue3"/>
        <w:ind w:left="1843"/>
      </w:pPr>
      <w:r>
        <w:t>Simple CUIW</w:t>
      </w:r>
      <w:r w:rsidR="00682015">
        <w:rPr>
          <w:vertAlign w:val="subscript"/>
        </w:rPr>
        <w:t>s</w:t>
      </w:r>
      <w:r w:rsidR="00327CDE" w:rsidRPr="00327CDE">
        <w:rPr>
          <w:vertAlign w:val="superscript"/>
        </w:rPr>
        <w:t>SEA</w:t>
      </w:r>
      <w:r w:rsidR="00327CDE">
        <w:t xml:space="preserve"> </w:t>
      </w:r>
      <w:r w:rsidR="00327CDE">
        <w:tab/>
        <w:t xml:space="preserve">= </w:t>
      </w:r>
      <w:r w:rsidR="00526A44">
        <w:t>Max [</w:t>
      </w:r>
      <w:r w:rsidR="00D44E78">
        <w:t xml:space="preserve">0, </w:t>
      </w:r>
      <w:r w:rsidR="00327CDE">
        <w:t>Q</w:t>
      </w:r>
      <w:r w:rsidR="000415A8">
        <w:rPr>
          <w:vertAlign w:val="subscript"/>
        </w:rPr>
        <w:t>s</w:t>
      </w:r>
      <w:r w:rsidR="006F7B15" w:rsidRPr="006F7B15">
        <w:rPr>
          <w:vertAlign w:val="superscript"/>
        </w:rPr>
        <w:t>SEA</w:t>
      </w:r>
      <w:r w:rsidR="004263F6">
        <w:rPr>
          <w:vertAlign w:val="superscript"/>
        </w:rPr>
        <w:t xml:space="preserve"> </w:t>
      </w:r>
      <w:r w:rsidR="00327CDE" w:rsidRPr="00886496">
        <w:rPr>
          <w:vertAlign w:val="superscript"/>
        </w:rPr>
        <w:t>OS</w:t>
      </w:r>
      <w:r w:rsidR="00327CDE">
        <w:t xml:space="preserve"> </w:t>
      </w:r>
      <w:r w:rsidR="006F7B15">
        <w:t>–</w:t>
      </w:r>
      <w:r w:rsidR="00327CDE">
        <w:t xml:space="preserve"> Q</w:t>
      </w:r>
      <w:r w:rsidR="000415A8">
        <w:rPr>
          <w:vertAlign w:val="subscript"/>
        </w:rPr>
        <w:t>s</w:t>
      </w:r>
      <w:r w:rsidR="00C441AD">
        <w:rPr>
          <w:vertAlign w:val="superscript"/>
        </w:rPr>
        <w:t>SEA</w:t>
      </w:r>
      <w:r w:rsidR="004263F6">
        <w:rPr>
          <w:vertAlign w:val="superscript"/>
        </w:rPr>
        <w:t xml:space="preserve"> </w:t>
      </w:r>
      <w:r w:rsidR="006F7B15">
        <w:rPr>
          <w:vertAlign w:val="superscript"/>
        </w:rPr>
        <w:t>P</w:t>
      </w:r>
      <w:r w:rsidR="00327CDE" w:rsidRPr="002B21A3">
        <w:rPr>
          <w:vertAlign w:val="superscript"/>
        </w:rPr>
        <w:t>S</w:t>
      </w:r>
      <w:r w:rsidR="00676E83">
        <w:t>]</w:t>
      </w:r>
      <w:r w:rsidR="00CC3945">
        <w:t xml:space="preserve"> summed for all system points</w:t>
      </w:r>
    </w:p>
    <w:p w14:paraId="0832272B" w14:textId="77777777" w:rsidR="00F83751" w:rsidRDefault="00F83751" w:rsidP="00E20339">
      <w:pPr>
        <w:pStyle w:val="ListContinue3"/>
        <w:ind w:left="1843"/>
      </w:pPr>
    </w:p>
    <w:p w14:paraId="233D2F04" w14:textId="2FFC96CE" w:rsidR="00574E29" w:rsidRPr="00574E29" w:rsidRDefault="00104364" w:rsidP="00574E29">
      <w:pPr>
        <w:pStyle w:val="ListContinue3"/>
        <w:ind w:left="1843"/>
      </w:pPr>
      <w:r>
        <w:t>Note these values are always positive.</w:t>
      </w:r>
    </w:p>
    <w:p w14:paraId="31A85FBA" w14:textId="77777777" w:rsidR="005A2451" w:rsidRPr="0026117F" w:rsidRDefault="005A2451" w:rsidP="00E20339">
      <w:pPr>
        <w:pStyle w:val="ListContinue3"/>
        <w:ind w:left="1843"/>
      </w:pPr>
    </w:p>
    <w:p w14:paraId="04EB7163" w14:textId="23655A74" w:rsidR="00084F8F" w:rsidRDefault="004B3379" w:rsidP="00E4104F">
      <w:pPr>
        <w:pStyle w:val="Listi"/>
      </w:pPr>
      <w:r>
        <w:t xml:space="preserve">Determine the initial </w:t>
      </w:r>
      <w:r w:rsidRPr="00023859">
        <w:rPr>
          <w:i/>
          <w:iCs/>
        </w:rPr>
        <w:t xml:space="preserve">DTS SP </w:t>
      </w:r>
      <w:r w:rsidR="00023859" w:rsidRPr="00023859">
        <w:rPr>
          <w:i/>
          <w:iCs/>
        </w:rPr>
        <w:t xml:space="preserve">uplift </w:t>
      </w:r>
      <w:r w:rsidRPr="00023859">
        <w:rPr>
          <w:i/>
          <w:iCs/>
        </w:rPr>
        <w:t>quantity</w:t>
      </w:r>
      <w:r>
        <w:t xml:space="preserve"> </w:t>
      </w:r>
      <w:r w:rsidR="001B011A">
        <w:t>for</w:t>
      </w:r>
      <w:r w:rsidR="001C347A">
        <w:t xml:space="preserve"> the </w:t>
      </w:r>
      <w:r w:rsidR="00877559">
        <w:t xml:space="preserve">first </w:t>
      </w:r>
      <w:r w:rsidR="00940100">
        <w:t xml:space="preserve">affected </w:t>
      </w:r>
      <w:r w:rsidR="00940100" w:rsidRPr="00940100">
        <w:rPr>
          <w:i/>
          <w:iCs/>
        </w:rPr>
        <w:t>operating schedule</w:t>
      </w:r>
      <w:r w:rsidR="00940100">
        <w:t xml:space="preserve"> </w:t>
      </w:r>
      <w:r w:rsidR="001363EE">
        <w:t xml:space="preserve">n </w:t>
      </w:r>
      <w:r w:rsidR="00940100">
        <w:t xml:space="preserve">and </w:t>
      </w:r>
      <w:r w:rsidR="00940100" w:rsidRPr="00940100">
        <w:rPr>
          <w:i/>
          <w:iCs/>
        </w:rPr>
        <w:t>SEA operating schedule</w:t>
      </w:r>
      <w:r w:rsidR="00940100">
        <w:t xml:space="preserve"> </w:t>
      </w:r>
      <w:r w:rsidR="00D305FB">
        <w:t xml:space="preserve">n </w:t>
      </w:r>
      <w:r w:rsidR="00084F8F">
        <w:t>as</w:t>
      </w:r>
      <w:r w:rsidR="0076673C">
        <w:t xml:space="preserve"> the maximum of zero and the difference between </w:t>
      </w:r>
      <w:r w:rsidR="00E22D4C">
        <w:t>simple constrained on injections and withdrawals</w:t>
      </w:r>
      <w:r w:rsidR="00657B48">
        <w:t xml:space="preserve"> for the </w:t>
      </w:r>
      <w:r w:rsidR="00657B48" w:rsidRPr="00940100">
        <w:rPr>
          <w:i/>
          <w:iCs/>
        </w:rPr>
        <w:t>operating schedule</w:t>
      </w:r>
      <w:r w:rsidR="00657B48">
        <w:t xml:space="preserve"> and </w:t>
      </w:r>
      <w:r w:rsidR="00657B48" w:rsidRPr="00940100">
        <w:rPr>
          <w:i/>
          <w:iCs/>
        </w:rPr>
        <w:t>SEA operating schedule</w:t>
      </w:r>
      <w:r w:rsidR="00084F8F">
        <w:t>:</w:t>
      </w:r>
    </w:p>
    <w:p w14:paraId="02AB73B2" w14:textId="1D474627" w:rsidR="00084F8F" w:rsidRDefault="007B5E99" w:rsidP="00084F8F">
      <w:pPr>
        <w:pStyle w:val="ListContinue3"/>
        <w:ind w:left="1843"/>
      </w:pPr>
      <w:r>
        <w:t>Init Q</w:t>
      </w:r>
      <w:r w:rsidR="003F2787">
        <w:t>D</w:t>
      </w:r>
      <w:r>
        <w:rPr>
          <w:vertAlign w:val="subscript"/>
        </w:rPr>
        <w:t>s = n</w:t>
      </w:r>
      <w:r w:rsidR="00C808C5">
        <w:tab/>
        <w:t xml:space="preserve">= </w:t>
      </w:r>
      <w:r w:rsidR="00526A44">
        <w:t>Max [</w:t>
      </w:r>
      <w:r w:rsidR="0030226E">
        <w:t>0,</w:t>
      </w:r>
      <w:r w:rsidR="00B47A50">
        <w:t xml:space="preserve"> Simple CUIW</w:t>
      </w:r>
      <w:r w:rsidR="00B47A50" w:rsidRPr="00682015">
        <w:rPr>
          <w:vertAlign w:val="subscript"/>
        </w:rPr>
        <w:t>s</w:t>
      </w:r>
      <w:r w:rsidR="00B47A50">
        <w:t xml:space="preserve"> - Simple CUIW</w:t>
      </w:r>
      <w:r w:rsidR="00B47A50">
        <w:rPr>
          <w:vertAlign w:val="subscript"/>
        </w:rPr>
        <w:t>s</w:t>
      </w:r>
      <w:r w:rsidR="00B47A50" w:rsidRPr="00327CDE">
        <w:rPr>
          <w:vertAlign w:val="superscript"/>
        </w:rPr>
        <w:t>SEA</w:t>
      </w:r>
      <w:r w:rsidR="00676E83">
        <w:t>]</w:t>
      </w:r>
    </w:p>
    <w:p w14:paraId="584A19CE" w14:textId="77777777" w:rsidR="00F83751" w:rsidRDefault="00F83751" w:rsidP="002F7E26">
      <w:pPr>
        <w:pStyle w:val="ListContinue3"/>
        <w:ind w:left="1843"/>
      </w:pPr>
    </w:p>
    <w:p w14:paraId="030E1A41" w14:textId="47065079" w:rsidR="002F7E26" w:rsidRDefault="002F7E26" w:rsidP="002F7E26">
      <w:pPr>
        <w:pStyle w:val="ListContinue3"/>
        <w:ind w:left="1843"/>
      </w:pPr>
      <w:r>
        <w:t xml:space="preserve">Note that this value </w:t>
      </w:r>
      <w:r w:rsidR="003A5470">
        <w:t xml:space="preserve">must be </w:t>
      </w:r>
      <w:r>
        <w:t>positive.</w:t>
      </w:r>
    </w:p>
    <w:p w14:paraId="3F59BCD1" w14:textId="77777777" w:rsidR="00716571" w:rsidRPr="00716571" w:rsidRDefault="00716571" w:rsidP="00DB4376">
      <w:pPr>
        <w:pStyle w:val="ListContinue3"/>
      </w:pPr>
    </w:p>
    <w:p w14:paraId="68ACC955" w14:textId="26721ADB" w:rsidR="003B0C3F" w:rsidRDefault="003B0C3F" w:rsidP="003B0C3F">
      <w:pPr>
        <w:pStyle w:val="Listi"/>
      </w:pPr>
      <w:r>
        <w:t xml:space="preserve">Determine the initial </w:t>
      </w:r>
      <w:r w:rsidRPr="00023859">
        <w:rPr>
          <w:i/>
          <w:iCs/>
        </w:rPr>
        <w:t>DTS SP uplift quantity</w:t>
      </w:r>
      <w:r>
        <w:t xml:space="preserve"> for all subsequent affected </w:t>
      </w:r>
      <w:r w:rsidRPr="00940100">
        <w:rPr>
          <w:i/>
          <w:iCs/>
        </w:rPr>
        <w:t>operating schedule</w:t>
      </w:r>
      <w:r w:rsidR="003A774D">
        <w:rPr>
          <w:i/>
          <w:iCs/>
        </w:rPr>
        <w:t>s</w:t>
      </w:r>
      <w:r>
        <w:t xml:space="preserve"> and </w:t>
      </w:r>
      <w:r w:rsidRPr="00940100">
        <w:rPr>
          <w:i/>
          <w:iCs/>
        </w:rPr>
        <w:t>SEA operating schedule</w:t>
      </w:r>
      <w:r w:rsidR="003A774D">
        <w:rPr>
          <w:i/>
          <w:iCs/>
        </w:rPr>
        <w:t>s</w:t>
      </w:r>
      <w:r>
        <w:t xml:space="preserve"> as the maximum of zero and the difference between simple constrained on injections and withdrawals for the </w:t>
      </w:r>
      <w:r w:rsidRPr="00940100">
        <w:rPr>
          <w:i/>
          <w:iCs/>
        </w:rPr>
        <w:t>operating schedule</w:t>
      </w:r>
      <w:r>
        <w:t xml:space="preserve"> and </w:t>
      </w:r>
      <w:r w:rsidRPr="00940100">
        <w:rPr>
          <w:i/>
          <w:iCs/>
        </w:rPr>
        <w:t>SEA operating schedule</w:t>
      </w:r>
      <w:r w:rsidR="00CA6E8E">
        <w:t xml:space="preserve"> less the </w:t>
      </w:r>
      <w:r w:rsidR="00B21EBC">
        <w:t xml:space="preserve">maximum of zero and the difference between simple constrained on injections and withdrawals for the </w:t>
      </w:r>
      <w:r w:rsidR="00987D7C">
        <w:t xml:space="preserve">previous </w:t>
      </w:r>
      <w:r w:rsidR="00B21EBC" w:rsidRPr="00940100">
        <w:rPr>
          <w:i/>
          <w:iCs/>
        </w:rPr>
        <w:t>operating schedule</w:t>
      </w:r>
      <w:r w:rsidR="00B21EBC">
        <w:t xml:space="preserve"> and </w:t>
      </w:r>
      <w:r w:rsidR="00987D7C">
        <w:t xml:space="preserve">previous </w:t>
      </w:r>
      <w:r w:rsidR="00B21EBC" w:rsidRPr="00940100">
        <w:rPr>
          <w:i/>
          <w:iCs/>
        </w:rPr>
        <w:t>SEA operating schedule</w:t>
      </w:r>
    </w:p>
    <w:p w14:paraId="5E7D34B8" w14:textId="6BE2A2D8" w:rsidR="00012998" w:rsidRDefault="003B0C3F" w:rsidP="00012998">
      <w:pPr>
        <w:pStyle w:val="ListContinue3"/>
        <w:ind w:left="1843"/>
      </w:pPr>
      <w:r>
        <w:t>In</w:t>
      </w:r>
      <w:r w:rsidR="00B41467">
        <w:t>it</w:t>
      </w:r>
      <w:r>
        <w:t xml:space="preserve"> Q</w:t>
      </w:r>
      <w:r w:rsidR="003F2787">
        <w:t>D</w:t>
      </w:r>
      <w:r>
        <w:rPr>
          <w:vertAlign w:val="subscript"/>
        </w:rPr>
        <w:t>s = n</w:t>
      </w:r>
      <w:r w:rsidR="0064545F">
        <w:rPr>
          <w:vertAlign w:val="subscript"/>
        </w:rPr>
        <w:t>+1 to 5</w:t>
      </w:r>
      <w:r>
        <w:tab/>
        <w:t xml:space="preserve">= </w:t>
      </w:r>
      <w:r w:rsidR="00C33272">
        <w:t>{</w:t>
      </w:r>
      <w:r w:rsidR="00526A44">
        <w:t>Max [</w:t>
      </w:r>
      <w:r>
        <w:t>0, Simple CUIW</w:t>
      </w:r>
      <w:r w:rsidRPr="00682015">
        <w:rPr>
          <w:vertAlign w:val="subscript"/>
        </w:rPr>
        <w:t>s</w:t>
      </w:r>
      <w:r>
        <w:t xml:space="preserve"> - Simple CUIW</w:t>
      </w:r>
      <w:r>
        <w:rPr>
          <w:vertAlign w:val="subscript"/>
        </w:rPr>
        <w:t>s</w:t>
      </w:r>
      <w:r w:rsidRPr="00327CDE">
        <w:rPr>
          <w:vertAlign w:val="superscript"/>
        </w:rPr>
        <w:t>SEA</w:t>
      </w:r>
      <w:r w:rsidR="00D45584">
        <w:t>]</w:t>
      </w:r>
      <w:r w:rsidR="00C33272">
        <w:t xml:space="preserve"> </w:t>
      </w:r>
      <w:r w:rsidR="00012998">
        <w:t>–</w:t>
      </w:r>
      <w:r w:rsidR="00C33272">
        <w:t xml:space="preserve"> </w:t>
      </w:r>
    </w:p>
    <w:p w14:paraId="47B4A0D0" w14:textId="14975DDD" w:rsidR="003B0C3F" w:rsidRDefault="00A1134E" w:rsidP="00012998">
      <w:pPr>
        <w:pStyle w:val="ListContinue3"/>
        <w:ind w:left="3600"/>
      </w:pPr>
      <w:r>
        <w:t xml:space="preserve">    </w:t>
      </w:r>
      <w:r w:rsidR="00526A44">
        <w:t>Max [</w:t>
      </w:r>
      <w:r w:rsidR="00C33272">
        <w:t>0, Simple CUIW</w:t>
      </w:r>
      <w:r w:rsidR="00C33272" w:rsidRPr="00682015">
        <w:rPr>
          <w:vertAlign w:val="subscript"/>
        </w:rPr>
        <w:t>s</w:t>
      </w:r>
      <w:r w:rsidR="00C33272">
        <w:rPr>
          <w:vertAlign w:val="subscript"/>
        </w:rPr>
        <w:t>-1</w:t>
      </w:r>
      <w:r w:rsidR="00C33272">
        <w:t xml:space="preserve"> - Simple CUIW</w:t>
      </w:r>
      <w:r w:rsidR="00C33272">
        <w:rPr>
          <w:vertAlign w:val="subscript"/>
        </w:rPr>
        <w:t>s-1</w:t>
      </w:r>
      <w:r w:rsidR="00C33272" w:rsidRPr="00327CDE">
        <w:rPr>
          <w:vertAlign w:val="superscript"/>
        </w:rPr>
        <w:t>SEA</w:t>
      </w:r>
      <w:r w:rsidR="00D45584">
        <w:t>]</w:t>
      </w:r>
      <w:r w:rsidR="00636B5C">
        <w:t>}</w:t>
      </w:r>
    </w:p>
    <w:p w14:paraId="76534C8D" w14:textId="77777777" w:rsidR="008D6BC8" w:rsidRDefault="008D6BC8" w:rsidP="009238E3">
      <w:pPr>
        <w:pStyle w:val="ListContinue3"/>
        <w:ind w:left="1843"/>
      </w:pPr>
    </w:p>
    <w:p w14:paraId="70E2DB01" w14:textId="75025A68" w:rsidR="009238E3" w:rsidRDefault="009238E3" w:rsidP="009238E3">
      <w:pPr>
        <w:pStyle w:val="ListContinue3"/>
        <w:ind w:left="1843"/>
      </w:pPr>
      <w:r>
        <w:t>Note that this value can be positive or negative</w:t>
      </w:r>
      <w:r w:rsidR="00F31DA3">
        <w:t>.</w:t>
      </w:r>
    </w:p>
    <w:p w14:paraId="60546E4B" w14:textId="77777777" w:rsidR="00F31DA3" w:rsidRDefault="00F31DA3" w:rsidP="009238E3">
      <w:pPr>
        <w:pStyle w:val="ListContinue3"/>
        <w:ind w:left="1843"/>
      </w:pPr>
    </w:p>
    <w:p w14:paraId="29994580" w14:textId="1416CDFD" w:rsidR="00154847" w:rsidRDefault="00154847" w:rsidP="0006493F">
      <w:pPr>
        <w:pStyle w:val="Listi"/>
      </w:pPr>
      <w:r>
        <w:t xml:space="preserve">The </w:t>
      </w:r>
      <w:r w:rsidR="009C2D66" w:rsidRPr="00023859">
        <w:rPr>
          <w:i/>
          <w:iCs/>
        </w:rPr>
        <w:t>DTS SP uplift quantit</w:t>
      </w:r>
      <w:r w:rsidR="009C2D66">
        <w:rPr>
          <w:i/>
          <w:iCs/>
        </w:rPr>
        <w:t>y</w:t>
      </w:r>
      <w:r w:rsidR="009C2D66">
        <w:t xml:space="preserve"> must </w:t>
      </w:r>
      <w:r w:rsidR="0002228E">
        <w:t>fully or partially recover</w:t>
      </w:r>
      <w:r w:rsidR="009C2D66">
        <w:t xml:space="preserve"> the </w:t>
      </w:r>
      <w:r w:rsidR="008808D8" w:rsidRPr="008808D8">
        <w:rPr>
          <w:i/>
          <w:iCs/>
        </w:rPr>
        <w:t xml:space="preserve">total </w:t>
      </w:r>
      <w:r w:rsidR="0044490C">
        <w:rPr>
          <w:i/>
          <w:iCs/>
        </w:rPr>
        <w:t>uplift</w:t>
      </w:r>
      <w:r w:rsidR="008808D8" w:rsidRPr="008808D8">
        <w:rPr>
          <w:i/>
          <w:iCs/>
        </w:rPr>
        <w:t xml:space="preserve"> payment amount</w:t>
      </w:r>
      <w:r w:rsidR="0002228E">
        <w:t xml:space="preserve">, so must </w:t>
      </w:r>
      <w:r w:rsidR="00182046">
        <w:t xml:space="preserve">be </w:t>
      </w:r>
      <w:r w:rsidR="001104CD">
        <w:t>distributed</w:t>
      </w:r>
      <w:r w:rsidR="00182046">
        <w:t xml:space="preserve"> to reflect </w:t>
      </w:r>
      <w:r w:rsidR="003B78AA">
        <w:t>the determination of the</w:t>
      </w:r>
      <w:r w:rsidR="003B78AA" w:rsidRPr="007706A8">
        <w:rPr>
          <w:i/>
          <w:iCs/>
        </w:rPr>
        <w:t xml:space="preserve"> total uplift payment amounts</w:t>
      </w:r>
      <w:r w:rsidR="003B78AA">
        <w:t xml:space="preserve"> </w:t>
      </w:r>
      <w:r w:rsidR="00665023">
        <w:t xml:space="preserve">to </w:t>
      </w:r>
      <w:r w:rsidR="00692766">
        <w:t xml:space="preserve">smooth out the volatility of successive positive and negative </w:t>
      </w:r>
      <w:r w:rsidR="00B60910">
        <w:rPr>
          <w:i/>
          <w:iCs/>
        </w:rPr>
        <w:t xml:space="preserve">ancillary </w:t>
      </w:r>
      <w:r w:rsidR="00D47314">
        <w:rPr>
          <w:i/>
          <w:iCs/>
        </w:rPr>
        <w:t>payments</w:t>
      </w:r>
      <w:r w:rsidR="00B60910">
        <w:rPr>
          <w:i/>
          <w:iCs/>
        </w:rPr>
        <w:t xml:space="preserve"> </w:t>
      </w:r>
      <w:r w:rsidR="00B60910">
        <w:t xml:space="preserve">over </w:t>
      </w:r>
      <w:r w:rsidR="00566216">
        <w:t xml:space="preserve">successive </w:t>
      </w:r>
      <w:r w:rsidR="00566216">
        <w:rPr>
          <w:i/>
          <w:iCs/>
        </w:rPr>
        <w:t>operating schedules</w:t>
      </w:r>
      <w:r w:rsidR="00566216">
        <w:t xml:space="preserve"> for a</w:t>
      </w:r>
      <w:r w:rsidR="00B60910">
        <w:t xml:space="preserve"> </w:t>
      </w:r>
      <w:r w:rsidR="00B60910" w:rsidRPr="00B60910">
        <w:rPr>
          <w:i/>
          <w:iCs/>
        </w:rPr>
        <w:t>gas da</w:t>
      </w:r>
      <w:r w:rsidR="00B60910">
        <w:t>y.</w:t>
      </w:r>
      <w:r w:rsidR="00410E21">
        <w:t xml:space="preserve"> </w:t>
      </w:r>
    </w:p>
    <w:p w14:paraId="3A34223A" w14:textId="7B9A3187" w:rsidR="003F06F1" w:rsidRDefault="003F06F1" w:rsidP="003F06F1">
      <w:pPr>
        <w:pStyle w:val="ListContinue3"/>
        <w:ind w:left="1843"/>
      </w:pPr>
      <w:r>
        <w:t xml:space="preserve">This process, also known as the ‘AP flip flop’, is set out in the </w:t>
      </w:r>
      <w:r w:rsidR="002C64AB">
        <w:t xml:space="preserve">section </w:t>
      </w:r>
      <w:r w:rsidR="0068182F">
        <w:rPr>
          <w:color w:val="2B579A"/>
          <w:shd w:val="clear" w:color="auto" w:fill="E6E6E6"/>
        </w:rPr>
        <w:fldChar w:fldCharType="begin"/>
      </w:r>
      <w:r w:rsidR="0068182F">
        <w:instrText xml:space="preserve"> REF _Ref57969602 \n \h </w:instrText>
      </w:r>
      <w:r w:rsidR="0068182F">
        <w:rPr>
          <w:color w:val="2B579A"/>
          <w:shd w:val="clear" w:color="auto" w:fill="E6E6E6"/>
        </w:rPr>
      </w:r>
      <w:r w:rsidR="0068182F">
        <w:rPr>
          <w:color w:val="2B579A"/>
          <w:shd w:val="clear" w:color="auto" w:fill="E6E6E6"/>
        </w:rPr>
        <w:fldChar w:fldCharType="separate"/>
      </w:r>
      <w:r w:rsidR="00BA68AF">
        <w:t>3</w:t>
      </w:r>
      <w:r w:rsidR="0068182F">
        <w:rPr>
          <w:color w:val="2B579A"/>
          <w:shd w:val="clear" w:color="auto" w:fill="E6E6E6"/>
        </w:rPr>
        <w:fldChar w:fldCharType="end"/>
      </w:r>
      <w:r w:rsidR="003A66D3">
        <w:rPr>
          <w:i/>
          <w:iCs/>
        </w:rPr>
        <w:t xml:space="preserve">.  </w:t>
      </w:r>
      <w:r w:rsidR="00366C4E">
        <w:t xml:space="preserve">The </w:t>
      </w:r>
      <w:r w:rsidR="00366C4E" w:rsidRPr="00023859">
        <w:rPr>
          <w:i/>
          <w:iCs/>
        </w:rPr>
        <w:t>DTS SP uplift quantit</w:t>
      </w:r>
      <w:r w:rsidR="00366C4E">
        <w:rPr>
          <w:i/>
          <w:iCs/>
        </w:rPr>
        <w:t>y</w:t>
      </w:r>
      <w:r w:rsidR="00366C4E">
        <w:t xml:space="preserve"> is </w:t>
      </w:r>
      <w:r w:rsidR="00F12EE6">
        <w:t xml:space="preserve">distributed </w:t>
      </w:r>
      <w:r w:rsidR="00E3368D">
        <w:t xml:space="preserve">using the same principles </w:t>
      </w:r>
      <w:r w:rsidR="0045443D">
        <w:t xml:space="preserve">as </w:t>
      </w:r>
      <w:r w:rsidR="00444B01">
        <w:t>this process</w:t>
      </w:r>
      <w:r w:rsidR="00965C59">
        <w:rPr>
          <w:i/>
          <w:iCs/>
        </w:rPr>
        <w:t>.</w:t>
      </w:r>
    </w:p>
    <w:p w14:paraId="4EE55727" w14:textId="77777777" w:rsidR="004228B1" w:rsidRPr="004228B1" w:rsidRDefault="004228B1" w:rsidP="003F06F1">
      <w:pPr>
        <w:pStyle w:val="ListContinue3"/>
        <w:ind w:left="1843"/>
      </w:pPr>
    </w:p>
    <w:p w14:paraId="0568F5CE" w14:textId="5F0BC982" w:rsidR="0006493F" w:rsidRDefault="0006493F" w:rsidP="0006493F">
      <w:pPr>
        <w:pStyle w:val="Listi"/>
      </w:pPr>
      <w:r>
        <w:t xml:space="preserve">Determine the </w:t>
      </w:r>
      <w:r w:rsidR="0065534B">
        <w:t>initial</w:t>
      </w:r>
      <w:r w:rsidR="004605EF">
        <w:t xml:space="preserve"> </w:t>
      </w:r>
      <w:r w:rsidR="00C921DD">
        <w:t>distributed</w:t>
      </w:r>
      <w:r>
        <w:t xml:space="preserve"> </w:t>
      </w:r>
      <w:r w:rsidRPr="002F007B">
        <w:rPr>
          <w:i/>
          <w:iCs/>
        </w:rPr>
        <w:t>DTS SP uplift quantity</w:t>
      </w:r>
      <w:r>
        <w:t xml:space="preserve"> </w:t>
      </w:r>
      <w:r w:rsidR="00EF54B7">
        <w:t xml:space="preserve">for </w:t>
      </w:r>
      <w:r w:rsidR="003F346B">
        <w:t xml:space="preserve">each affected </w:t>
      </w:r>
      <w:r w:rsidR="002D0274" w:rsidRPr="00940100">
        <w:rPr>
          <w:i/>
          <w:iCs/>
        </w:rPr>
        <w:t>operating schedule</w:t>
      </w:r>
      <w:r w:rsidR="004F70AD">
        <w:rPr>
          <w:i/>
          <w:iCs/>
        </w:rPr>
        <w:t xml:space="preserve"> </w:t>
      </w:r>
      <w:r w:rsidR="00F12EE6">
        <w:t xml:space="preserve">s </w:t>
      </w:r>
      <w:r w:rsidR="00F364CA">
        <w:t xml:space="preserve">where </w:t>
      </w:r>
      <w:r w:rsidR="00295D9C">
        <w:t xml:space="preserve">s </w:t>
      </w:r>
      <w:r w:rsidR="00764374">
        <w:t>equals</w:t>
      </w:r>
      <w:r w:rsidR="00295D9C">
        <w:t xml:space="preserve"> 1</w:t>
      </w:r>
      <w:r w:rsidR="008E6F4A">
        <w:t>,</w:t>
      </w:r>
      <w:r w:rsidR="00295D9C">
        <w:t xml:space="preserve"> or </w:t>
      </w:r>
      <w:r w:rsidR="008E6F4A">
        <w:t xml:space="preserve">where the </w:t>
      </w:r>
      <w:r w:rsidR="00C33606">
        <w:t>Init</w:t>
      </w:r>
      <w:r w:rsidR="003210E8">
        <w:t xml:space="preserve">ial </w:t>
      </w:r>
      <w:r w:rsidR="003210E8" w:rsidRPr="00023859">
        <w:rPr>
          <w:i/>
          <w:iCs/>
        </w:rPr>
        <w:t>DTS SP uplift quantity</w:t>
      </w:r>
      <w:r w:rsidR="006F6D43">
        <w:t xml:space="preserve"> </w:t>
      </w:r>
      <w:r w:rsidR="008730F2">
        <w:t xml:space="preserve">for the schedule </w:t>
      </w:r>
      <w:r w:rsidR="00867143">
        <w:t xml:space="preserve">s </w:t>
      </w:r>
      <w:r w:rsidR="006F6D43">
        <w:t>is positive</w:t>
      </w:r>
      <w:r w:rsidR="004605EF">
        <w:t>,</w:t>
      </w:r>
      <w:r w:rsidR="006F6D43">
        <w:t xml:space="preserve"> as</w:t>
      </w:r>
      <w:r w:rsidR="00223D3F">
        <w:t xml:space="preserve"> the maximum of zero and</w:t>
      </w:r>
      <w:r w:rsidR="00015255">
        <w:t xml:space="preserve"> the minimum over all schedules s’’ from schedule </w:t>
      </w:r>
      <w:r w:rsidR="00C743F1">
        <w:t>s to schedule s’ of the initial DTS SP uplift quantity for those schedules</w:t>
      </w:r>
      <w:r w:rsidR="006F6D43">
        <w:t>:</w:t>
      </w:r>
    </w:p>
    <w:p w14:paraId="6061F59A" w14:textId="7533C5D1" w:rsidR="006F6D43" w:rsidRDefault="004605EF" w:rsidP="006F6D43">
      <w:pPr>
        <w:pStyle w:val="ListContinue3"/>
        <w:ind w:left="1843"/>
      </w:pPr>
      <w:r>
        <w:t>Init</w:t>
      </w:r>
      <w:r w:rsidR="00C921DD">
        <w:t>Dist</w:t>
      </w:r>
      <w:r w:rsidR="008730F2">
        <w:t xml:space="preserve"> Q</w:t>
      </w:r>
      <w:r w:rsidR="003F2787">
        <w:t>D</w:t>
      </w:r>
      <w:r w:rsidR="008730F2">
        <w:rPr>
          <w:vertAlign w:val="subscript"/>
        </w:rPr>
        <w:t>s</w:t>
      </w:r>
      <w:r w:rsidR="008730F2">
        <w:tab/>
        <w:t>=</w:t>
      </w:r>
      <w:r w:rsidR="006A4AD5">
        <w:t xml:space="preserve"> </w:t>
      </w:r>
      <w:r w:rsidR="00526A44">
        <w:t>Max [</w:t>
      </w:r>
      <w:r w:rsidR="006A4AD5">
        <w:t xml:space="preserve">0, </w:t>
      </w:r>
      <w:r w:rsidR="00270375">
        <w:t>Min</w:t>
      </w:r>
      <w:r w:rsidR="00850B6B" w:rsidRPr="00270375">
        <w:rPr>
          <w:vertAlign w:val="subscript"/>
        </w:rPr>
        <w:t xml:space="preserve">s’ = s to </w:t>
      </w:r>
      <w:r w:rsidR="00B3085D" w:rsidRPr="00270375">
        <w:rPr>
          <w:vertAlign w:val="subscript"/>
        </w:rPr>
        <w:t>5</w:t>
      </w:r>
      <w:r w:rsidR="00270375">
        <w:t>(</w:t>
      </w:r>
      <w:r w:rsidR="00840FC2">
        <w:rPr>
          <w:rFonts w:ascii="Symbol" w:eastAsia="Symbol" w:hAnsi="Symbol" w:cs="Symbol"/>
        </w:rPr>
        <w:t>S</w:t>
      </w:r>
      <w:r w:rsidR="00840FC2">
        <w:rPr>
          <w:vertAlign w:val="subscript"/>
        </w:rPr>
        <w:t>s’’ = s to s’</w:t>
      </w:r>
      <w:r w:rsidR="0035269C">
        <w:t xml:space="preserve"> </w:t>
      </w:r>
      <w:r w:rsidR="00A65C94">
        <w:t>Init</w:t>
      </w:r>
      <w:r w:rsidR="0035269C">
        <w:t xml:space="preserve"> Q</w:t>
      </w:r>
      <w:r w:rsidR="003F2787">
        <w:t>D</w:t>
      </w:r>
      <w:r w:rsidR="00223D3F">
        <w:rPr>
          <w:vertAlign w:val="subscript"/>
        </w:rPr>
        <w:t>s’’</w:t>
      </w:r>
      <w:r w:rsidR="006F6A67">
        <w:t>]</w:t>
      </w:r>
    </w:p>
    <w:p w14:paraId="512FE23E" w14:textId="77777777" w:rsidR="004228B1" w:rsidRDefault="004228B1" w:rsidP="006F6D43">
      <w:pPr>
        <w:pStyle w:val="ListContinue3"/>
        <w:ind w:left="1843"/>
      </w:pPr>
    </w:p>
    <w:p w14:paraId="55AE45D5" w14:textId="3EFA8992" w:rsidR="00474082" w:rsidRDefault="002F007B" w:rsidP="002F007B">
      <w:pPr>
        <w:pStyle w:val="Listi"/>
      </w:pPr>
      <w:r>
        <w:t xml:space="preserve">Determine the </w:t>
      </w:r>
      <w:r w:rsidR="00876D43">
        <w:t>initial</w:t>
      </w:r>
      <w:r w:rsidR="00A65C94">
        <w:t xml:space="preserve"> </w:t>
      </w:r>
      <w:r w:rsidR="00C921DD">
        <w:t>distributed</w:t>
      </w:r>
      <w:r>
        <w:t xml:space="preserve"> </w:t>
      </w:r>
      <w:r w:rsidRPr="002F007B">
        <w:rPr>
          <w:i/>
          <w:iCs/>
        </w:rPr>
        <w:t>DTS SP uplift quantity</w:t>
      </w:r>
      <w:r w:rsidR="00BC2D80">
        <w:t xml:space="preserve"> for each affected </w:t>
      </w:r>
      <w:r w:rsidR="004F70AD" w:rsidRPr="00940100">
        <w:rPr>
          <w:i/>
          <w:iCs/>
        </w:rPr>
        <w:t>operating schedule</w:t>
      </w:r>
      <w:r w:rsidR="004F70AD">
        <w:rPr>
          <w:i/>
          <w:iCs/>
        </w:rPr>
        <w:t xml:space="preserve"> </w:t>
      </w:r>
      <w:r w:rsidR="00BC2D80">
        <w:t xml:space="preserve">where s is greater than 1 </w:t>
      </w:r>
      <w:r>
        <w:t xml:space="preserve"> </w:t>
      </w:r>
      <w:r w:rsidR="00764374">
        <w:t xml:space="preserve">or the Initial </w:t>
      </w:r>
      <w:r w:rsidR="00764374" w:rsidRPr="00023859">
        <w:rPr>
          <w:i/>
          <w:iCs/>
        </w:rPr>
        <w:t>DTS SP uplift quantity</w:t>
      </w:r>
      <w:r w:rsidR="00764374">
        <w:t xml:space="preserve"> for the schedule is negative</w:t>
      </w:r>
      <w:r w:rsidR="00407539">
        <w:t xml:space="preserve"> as </w:t>
      </w:r>
      <w:r w:rsidR="004B32B1">
        <w:t xml:space="preserve">the minimum of zero and the </w:t>
      </w:r>
      <w:r w:rsidR="00A45512">
        <w:t xml:space="preserve">Initial </w:t>
      </w:r>
      <w:r w:rsidR="00A45512" w:rsidRPr="00023859">
        <w:rPr>
          <w:i/>
          <w:iCs/>
        </w:rPr>
        <w:t>DTS SP uplift quantity</w:t>
      </w:r>
      <w:r w:rsidR="00A45512">
        <w:t xml:space="preserve"> for the schedule</w:t>
      </w:r>
      <w:r w:rsidR="0058030B">
        <w:t xml:space="preserve"> s plus the sum over all schedules s’ from schedule 1 to schedule </w:t>
      </w:r>
      <w:r w:rsidR="000B00DC">
        <w:t xml:space="preserve">s-1 of Initial </w:t>
      </w:r>
      <w:r w:rsidR="000B00DC" w:rsidRPr="00023859">
        <w:rPr>
          <w:i/>
          <w:iCs/>
        </w:rPr>
        <w:t>DTS SP uplift quantit</w:t>
      </w:r>
      <w:r w:rsidR="000B00DC">
        <w:rPr>
          <w:i/>
          <w:iCs/>
        </w:rPr>
        <w:t>y</w:t>
      </w:r>
      <w:r w:rsidR="000B00DC">
        <w:t xml:space="preserve"> minus </w:t>
      </w:r>
      <w:r w:rsidR="00937E61">
        <w:t>Final</w:t>
      </w:r>
      <w:r w:rsidR="00937E61" w:rsidRPr="00937E61">
        <w:rPr>
          <w:i/>
          <w:iCs/>
        </w:rPr>
        <w:t xml:space="preserve"> DTS SP uplift quantity</w:t>
      </w:r>
      <w:r w:rsidR="00474082">
        <w:t xml:space="preserve"> for schedule s’.</w:t>
      </w:r>
    </w:p>
    <w:p w14:paraId="181FFF7F" w14:textId="71741B7A" w:rsidR="001E48C4" w:rsidRDefault="00A65C94" w:rsidP="001E48C4">
      <w:pPr>
        <w:pStyle w:val="ListContinue3"/>
        <w:ind w:left="1843"/>
      </w:pPr>
      <w:r>
        <w:t>Init</w:t>
      </w:r>
      <w:r w:rsidR="00C921DD">
        <w:t>Dist</w:t>
      </w:r>
      <w:r w:rsidR="001E48C4">
        <w:t xml:space="preserve"> Q</w:t>
      </w:r>
      <w:r w:rsidR="003F2787">
        <w:t>D</w:t>
      </w:r>
      <w:r w:rsidR="001E48C4">
        <w:rPr>
          <w:vertAlign w:val="subscript"/>
        </w:rPr>
        <w:t>s</w:t>
      </w:r>
      <w:r w:rsidR="001E48C4">
        <w:tab/>
        <w:t xml:space="preserve">= </w:t>
      </w:r>
      <w:r w:rsidR="00526A44">
        <w:t>Min [</w:t>
      </w:r>
      <w:r w:rsidR="001E48C4">
        <w:t xml:space="preserve">0, </w:t>
      </w:r>
      <w:r>
        <w:t xml:space="preserve">Init </w:t>
      </w:r>
      <w:r w:rsidR="00C33580">
        <w:t>Q</w:t>
      </w:r>
      <w:r w:rsidR="003F2787">
        <w:t>D</w:t>
      </w:r>
      <w:r w:rsidR="00C33580">
        <w:rPr>
          <w:vertAlign w:val="subscript"/>
        </w:rPr>
        <w:t xml:space="preserve">s </w:t>
      </w:r>
      <w:r w:rsidR="00B13F21">
        <w:t>+ (</w:t>
      </w:r>
      <w:r w:rsidR="00B13F21">
        <w:rPr>
          <w:rFonts w:ascii="Symbol" w:eastAsia="Symbol" w:hAnsi="Symbol" w:cs="Symbol"/>
        </w:rPr>
        <w:t>S</w:t>
      </w:r>
      <w:r w:rsidR="00B13F21">
        <w:rPr>
          <w:vertAlign w:val="subscript"/>
        </w:rPr>
        <w:t xml:space="preserve">s’ = </w:t>
      </w:r>
      <w:r w:rsidR="003C157F">
        <w:rPr>
          <w:vertAlign w:val="subscript"/>
        </w:rPr>
        <w:t>1 to s-1</w:t>
      </w:r>
      <w:r w:rsidR="003C157F">
        <w:t xml:space="preserve"> (</w:t>
      </w:r>
      <w:r>
        <w:t>Init</w:t>
      </w:r>
      <w:r w:rsidR="001E48C4">
        <w:t xml:space="preserve"> Q</w:t>
      </w:r>
      <w:r w:rsidR="003F2787">
        <w:t>D</w:t>
      </w:r>
      <w:r w:rsidR="001E48C4">
        <w:rPr>
          <w:vertAlign w:val="subscript"/>
        </w:rPr>
        <w:t>s’</w:t>
      </w:r>
      <w:r w:rsidR="00D336C0">
        <w:rPr>
          <w:vertAlign w:val="subscript"/>
        </w:rPr>
        <w:t xml:space="preserve"> </w:t>
      </w:r>
      <w:r w:rsidR="00D336C0">
        <w:t xml:space="preserve">- </w:t>
      </w:r>
      <w:r w:rsidR="00EB5F92">
        <w:t>Init</w:t>
      </w:r>
      <w:r>
        <w:t>Dist</w:t>
      </w:r>
      <w:r w:rsidR="00D336C0">
        <w:t xml:space="preserve"> Q</w:t>
      </w:r>
      <w:r w:rsidR="003F2787">
        <w:t>D</w:t>
      </w:r>
      <w:r w:rsidR="00D336C0">
        <w:rPr>
          <w:vertAlign w:val="subscript"/>
        </w:rPr>
        <w:t>s</w:t>
      </w:r>
      <w:r w:rsidR="000C0FB8">
        <w:rPr>
          <w:vertAlign w:val="subscript"/>
        </w:rPr>
        <w:t>’</w:t>
      </w:r>
      <w:r w:rsidR="001E48C4">
        <w:t>)</w:t>
      </w:r>
      <w:r w:rsidR="006F6A67">
        <w:t>]</w:t>
      </w:r>
    </w:p>
    <w:p w14:paraId="2BA780AB" w14:textId="77777777" w:rsidR="00D77FED" w:rsidRDefault="00D77FED" w:rsidP="000C0FB8">
      <w:pPr>
        <w:pStyle w:val="ListContinue3"/>
        <w:ind w:left="1843"/>
      </w:pPr>
    </w:p>
    <w:p w14:paraId="652BACA5" w14:textId="6C0D17EB" w:rsidR="00A1134E" w:rsidRPr="00365602" w:rsidRDefault="006006B3" w:rsidP="00A65C94">
      <w:pPr>
        <w:pStyle w:val="Listi"/>
      </w:pPr>
      <w:r>
        <w:t xml:space="preserve">The </w:t>
      </w:r>
      <w:r w:rsidR="0065534B">
        <w:t>in</w:t>
      </w:r>
      <w:r w:rsidR="00335BD8">
        <w:t xml:space="preserve">itial </w:t>
      </w:r>
      <w:r w:rsidR="00A65C94">
        <w:t>distributed</w:t>
      </w:r>
      <w:r>
        <w:t xml:space="preserve"> </w:t>
      </w:r>
      <w:r w:rsidRPr="003725E6">
        <w:rPr>
          <w:i/>
          <w:iCs/>
        </w:rPr>
        <w:t>DTS SP uplift quantity</w:t>
      </w:r>
      <w:r>
        <w:t xml:space="preserve"> may be allocated to</w:t>
      </w:r>
      <w:r w:rsidR="00C3382A">
        <w:t xml:space="preserve"> a single </w:t>
      </w:r>
      <w:r w:rsidR="00C31DD3" w:rsidRPr="00C31DD3">
        <w:rPr>
          <w:i/>
          <w:iCs/>
        </w:rPr>
        <w:t xml:space="preserve">operating </w:t>
      </w:r>
      <w:r w:rsidR="00C3382A" w:rsidRPr="00C31DD3">
        <w:rPr>
          <w:i/>
          <w:iCs/>
        </w:rPr>
        <w:t>schedule</w:t>
      </w:r>
      <w:r w:rsidR="00C46E91">
        <w:t xml:space="preserve"> in a group</w:t>
      </w:r>
      <w:r w:rsidR="00C31DD3">
        <w:t xml:space="preserve"> of</w:t>
      </w:r>
      <w:r w:rsidR="00616228">
        <w:t xml:space="preserve"> </w:t>
      </w:r>
      <w:r w:rsidR="00B4117D">
        <w:t xml:space="preserve">sequential </w:t>
      </w:r>
      <w:r w:rsidR="009040AB">
        <w:t>all positive or all negative</w:t>
      </w:r>
      <w:r w:rsidR="00C31DD3">
        <w:t xml:space="preserve"> </w:t>
      </w:r>
      <w:r w:rsidR="00C31DD3" w:rsidRPr="00C31DD3">
        <w:rPr>
          <w:i/>
          <w:iCs/>
        </w:rPr>
        <w:t xml:space="preserve">operating </w:t>
      </w:r>
      <w:r w:rsidR="00526A44" w:rsidRPr="00C31DD3">
        <w:rPr>
          <w:i/>
          <w:iCs/>
        </w:rPr>
        <w:t>schedules</w:t>
      </w:r>
      <w:r w:rsidR="00526A44">
        <w:t xml:space="preserve"> and</w:t>
      </w:r>
      <w:r w:rsidR="005F6342">
        <w:t xml:space="preserve"> </w:t>
      </w:r>
      <w:r w:rsidR="00C3382A">
        <w:t>must be a</w:t>
      </w:r>
      <w:r>
        <w:t>pportion</w:t>
      </w:r>
      <w:r w:rsidR="00C3382A">
        <w:t>ed</w:t>
      </w:r>
      <w:r w:rsidR="005C0F92">
        <w:t xml:space="preserve"> between </w:t>
      </w:r>
      <w:r w:rsidR="005F6342">
        <w:t>them</w:t>
      </w:r>
      <w:r w:rsidR="005D11C2">
        <w:t xml:space="preserve">.  </w:t>
      </w:r>
      <w:r w:rsidR="00A65C94">
        <w:t>T</w:t>
      </w:r>
      <w:r w:rsidR="00DD0FDC">
        <w:t xml:space="preserve">he </w:t>
      </w:r>
      <w:r w:rsidR="00175AED" w:rsidRPr="005D11C2">
        <w:rPr>
          <w:i/>
          <w:iCs/>
        </w:rPr>
        <w:t>DTS SP uplift quantity</w:t>
      </w:r>
      <w:r w:rsidR="00175AED">
        <w:t xml:space="preserve"> for each affected </w:t>
      </w:r>
      <w:r w:rsidR="004F70AD" w:rsidRPr="005D11C2">
        <w:rPr>
          <w:i/>
          <w:iCs/>
        </w:rPr>
        <w:t>operating schedule</w:t>
      </w:r>
      <w:r w:rsidR="00D34E58">
        <w:t xml:space="preserve"> is </w:t>
      </w:r>
      <w:r w:rsidR="00A65C94">
        <w:t xml:space="preserve">further distributed </w:t>
      </w:r>
      <w:r w:rsidR="00D34E58">
        <w:t xml:space="preserve">by multiplying the </w:t>
      </w:r>
      <w:r w:rsidR="005D11C2">
        <w:t xml:space="preserve">initial </w:t>
      </w:r>
      <w:r w:rsidR="005D11C2" w:rsidRPr="00023859">
        <w:rPr>
          <w:i/>
          <w:iCs/>
        </w:rPr>
        <w:t>DTS SP uplift quantity</w:t>
      </w:r>
      <w:r w:rsidR="005D11C2">
        <w:t xml:space="preserve"> </w:t>
      </w:r>
      <w:r w:rsidR="00BA17E0">
        <w:t xml:space="preserve">for that schedule s by the ratio of the adjusted </w:t>
      </w:r>
      <w:r w:rsidR="009F3175" w:rsidRPr="002F007B">
        <w:rPr>
          <w:i/>
          <w:iCs/>
        </w:rPr>
        <w:t>DTS SP uplift quantity</w:t>
      </w:r>
      <w:r w:rsidR="009F3175">
        <w:t xml:space="preserve"> to the total </w:t>
      </w:r>
      <w:r w:rsidR="00FE06FC">
        <w:t xml:space="preserve">initial </w:t>
      </w:r>
      <w:r w:rsidR="00FE06FC" w:rsidRPr="005D11C2">
        <w:rPr>
          <w:i/>
          <w:iCs/>
        </w:rPr>
        <w:t>DTS SP uplift quantity</w:t>
      </w:r>
      <w:r w:rsidR="00FE06FC">
        <w:t xml:space="preserve"> over a group of sequential schedules </w:t>
      </w:r>
      <w:r w:rsidR="00171161">
        <w:t xml:space="preserve">that include schedule s and all have the same signed </w:t>
      </w:r>
      <w:r w:rsidR="00171161" w:rsidRPr="008E3CD8">
        <w:t xml:space="preserve">initial </w:t>
      </w:r>
      <w:r w:rsidR="00BB3D86" w:rsidRPr="008E3CD8">
        <w:t xml:space="preserve">distributed </w:t>
      </w:r>
      <w:r w:rsidR="00171161" w:rsidRPr="008E3CD8">
        <w:rPr>
          <w:i/>
          <w:iCs/>
        </w:rPr>
        <w:t>DTS SP u</w:t>
      </w:r>
      <w:r w:rsidR="00171161" w:rsidRPr="005D11C2">
        <w:rPr>
          <w:i/>
          <w:iCs/>
        </w:rPr>
        <w:t>plift quantity</w:t>
      </w:r>
      <w:r w:rsidR="00A61B9D">
        <w:rPr>
          <w:i/>
          <w:iCs/>
        </w:rPr>
        <w:t>.</w:t>
      </w:r>
    </w:p>
    <w:p w14:paraId="5F7D2078" w14:textId="08015AC0" w:rsidR="00644136" w:rsidRPr="00B51D15" w:rsidRDefault="00644136" w:rsidP="00644136">
      <w:pPr>
        <w:pStyle w:val="ListContinue3"/>
        <w:ind w:left="1843"/>
      </w:pPr>
      <w:r>
        <w:t xml:space="preserve">Because </w:t>
      </w:r>
      <w:r w:rsidR="00303636">
        <w:rPr>
          <w:i/>
          <w:iCs/>
        </w:rPr>
        <w:t>DTS uplift</w:t>
      </w:r>
      <w:r w:rsidR="00303636">
        <w:t xml:space="preserve"> can </w:t>
      </w:r>
      <w:r w:rsidR="00EB35A0">
        <w:t xml:space="preserve">be </w:t>
      </w:r>
      <w:r w:rsidR="00633815">
        <w:t>only be recover</w:t>
      </w:r>
      <w:r w:rsidR="00B51D15">
        <w:t>e</w:t>
      </w:r>
      <w:r w:rsidR="00633815">
        <w:t xml:space="preserve">d </w:t>
      </w:r>
      <w:r w:rsidR="00B51D15">
        <w:t>against</w:t>
      </w:r>
      <w:r w:rsidR="00633815">
        <w:t xml:space="preserve"> positive </w:t>
      </w:r>
      <w:r w:rsidR="00862A88" w:rsidRPr="00365494">
        <w:rPr>
          <w:i/>
          <w:iCs/>
        </w:rPr>
        <w:t xml:space="preserve">total </w:t>
      </w:r>
      <w:r w:rsidR="00365494" w:rsidRPr="00365494">
        <w:rPr>
          <w:i/>
          <w:iCs/>
        </w:rPr>
        <w:t xml:space="preserve">uplift </w:t>
      </w:r>
      <w:r w:rsidR="00633815">
        <w:rPr>
          <w:i/>
          <w:iCs/>
        </w:rPr>
        <w:t>payments</w:t>
      </w:r>
      <w:r w:rsidR="00633815">
        <w:t xml:space="preserve">, </w:t>
      </w:r>
      <w:r w:rsidR="00B51D15">
        <w:t xml:space="preserve">the final </w:t>
      </w:r>
      <w:r w:rsidR="00B51D15" w:rsidRPr="005D11C2">
        <w:rPr>
          <w:i/>
          <w:iCs/>
        </w:rPr>
        <w:t>DTS SP uplift quantity</w:t>
      </w:r>
      <w:r w:rsidR="00B51D15">
        <w:t xml:space="preserve"> for each affected </w:t>
      </w:r>
      <w:r w:rsidR="00B51D15" w:rsidRPr="005D11C2">
        <w:rPr>
          <w:i/>
          <w:iCs/>
        </w:rPr>
        <w:t>operating schedule</w:t>
      </w:r>
      <w:r w:rsidR="00B51D15">
        <w:t xml:space="preserve"> is limited</w:t>
      </w:r>
      <w:r w:rsidR="004302F8">
        <w:t xml:space="preserve"> </w:t>
      </w:r>
      <w:r w:rsidR="005C5311">
        <w:t xml:space="preserve">to </w:t>
      </w:r>
      <w:r w:rsidR="00251B43">
        <w:t>a value</w:t>
      </w:r>
      <w:r w:rsidR="004302F8">
        <w:t xml:space="preserve"> greater </w:t>
      </w:r>
      <w:r w:rsidR="00251B43">
        <w:t xml:space="preserve">than </w:t>
      </w:r>
      <w:r w:rsidR="004302F8">
        <w:t>or equal to zero.</w:t>
      </w:r>
    </w:p>
    <w:p w14:paraId="306C1812" w14:textId="77777777" w:rsidR="00A61B9D" w:rsidRDefault="00A61B9D" w:rsidP="00A61B9D">
      <w:pPr>
        <w:pStyle w:val="ResetPara"/>
      </w:pPr>
    </w:p>
    <w:p w14:paraId="60395477" w14:textId="40C5FF56" w:rsidR="00A61B9D" w:rsidRDefault="00A65C94" w:rsidP="00F96C1E">
      <w:pPr>
        <w:pStyle w:val="ListContinue3"/>
        <w:tabs>
          <w:tab w:val="left" w:pos="3686"/>
          <w:tab w:val="left" w:pos="3828"/>
        </w:tabs>
        <w:ind w:left="3828" w:hanging="1985"/>
      </w:pPr>
      <w:bookmarkStart w:id="38" w:name="_Hlk56679432"/>
      <w:r>
        <w:t>FinalDist</w:t>
      </w:r>
      <w:r w:rsidR="005111E6" w:rsidRPr="005111E6">
        <w:t xml:space="preserve"> </w:t>
      </w:r>
      <w:r w:rsidR="005111E6">
        <w:t>Q</w:t>
      </w:r>
      <w:r w:rsidR="003F2787">
        <w:t>D</w:t>
      </w:r>
      <w:r w:rsidR="005111E6">
        <w:rPr>
          <w:vertAlign w:val="subscript"/>
        </w:rPr>
        <w:t>s</w:t>
      </w:r>
      <w:bookmarkEnd w:id="38"/>
      <w:r w:rsidR="005111E6">
        <w:tab/>
      </w:r>
      <w:r w:rsidR="00E72F1E">
        <w:t>=</w:t>
      </w:r>
      <w:r w:rsidR="00F96C1E">
        <w:tab/>
      </w:r>
      <w:r w:rsidR="00526A44">
        <w:t>Min [</w:t>
      </w:r>
      <w:r w:rsidR="004302F8">
        <w:t xml:space="preserve">0, </w:t>
      </w:r>
      <w:r>
        <w:t>Init</w:t>
      </w:r>
      <w:r w:rsidR="00E72F1E">
        <w:t xml:space="preserve"> Q</w:t>
      </w:r>
      <w:r w:rsidR="003F2787">
        <w:t>D</w:t>
      </w:r>
      <w:r w:rsidR="00E72F1E">
        <w:rPr>
          <w:vertAlign w:val="subscript"/>
        </w:rPr>
        <w:t>s</w:t>
      </w:r>
      <w:r w:rsidR="00E72F1E">
        <w:t xml:space="preserve"> x </w:t>
      </w:r>
      <w:r w:rsidR="006F6A67">
        <w:br/>
      </w:r>
      <w:r w:rsidR="00553377">
        <w:t>{</w:t>
      </w:r>
      <w:r w:rsidR="00874AB9">
        <w:rPr>
          <w:rFonts w:ascii="Symbol" w:eastAsia="Symbol" w:hAnsi="Symbol" w:cs="Symbol"/>
        </w:rPr>
        <w:t>S</w:t>
      </w:r>
      <w:r w:rsidR="005E26D4">
        <w:rPr>
          <w:vertAlign w:val="subscript"/>
        </w:rPr>
        <w:t xml:space="preserve">s’ in GROUP(s) </w:t>
      </w:r>
      <w:r>
        <w:t>InitDist</w:t>
      </w:r>
      <w:r w:rsidR="005E26D4">
        <w:t xml:space="preserve"> Q</w:t>
      </w:r>
      <w:r w:rsidR="003F2787">
        <w:t>D</w:t>
      </w:r>
      <w:r w:rsidR="007A754D">
        <w:rPr>
          <w:vertAlign w:val="subscript"/>
        </w:rPr>
        <w:t>s’</w:t>
      </w:r>
      <w:r w:rsidR="007A754D" w:rsidRPr="007A754D">
        <w:t>)</w:t>
      </w:r>
      <w:r w:rsidR="007A754D">
        <w:t>/</w:t>
      </w:r>
      <w:r w:rsidR="00ED0CBA">
        <w:t xml:space="preserve"> </w:t>
      </w:r>
      <w:r w:rsidR="007A754D">
        <w:t>(</w:t>
      </w:r>
      <w:r w:rsidR="00374A0B">
        <w:rPr>
          <w:rFonts w:ascii="Symbol" w:eastAsia="Symbol" w:hAnsi="Symbol" w:cs="Symbol"/>
        </w:rPr>
        <w:t>S</w:t>
      </w:r>
      <w:r w:rsidR="00374A0B">
        <w:rPr>
          <w:vertAlign w:val="subscript"/>
        </w:rPr>
        <w:t xml:space="preserve">s’ in GROUP(s) </w:t>
      </w:r>
      <w:r>
        <w:t>Init</w:t>
      </w:r>
      <w:r w:rsidR="00374A0B">
        <w:t xml:space="preserve"> Q</w:t>
      </w:r>
      <w:r w:rsidR="003F2787">
        <w:t>D</w:t>
      </w:r>
      <w:r w:rsidR="00374A0B" w:rsidRPr="002D19F3">
        <w:t>s’</w:t>
      </w:r>
      <w:r w:rsidR="00E70101">
        <w:t>)</w:t>
      </w:r>
      <w:r w:rsidR="00553377">
        <w:t>}</w:t>
      </w:r>
      <w:r w:rsidR="006F6A67">
        <w:t>]</w:t>
      </w:r>
    </w:p>
    <w:p w14:paraId="7DA002D1" w14:textId="77777777" w:rsidR="00E70101" w:rsidRDefault="00E70101" w:rsidP="00A61B9D">
      <w:pPr>
        <w:pStyle w:val="ListContinue3"/>
        <w:ind w:left="1843"/>
      </w:pPr>
    </w:p>
    <w:p w14:paraId="541DD5BE" w14:textId="19D1759E" w:rsidR="00E70101" w:rsidRDefault="00E70101" w:rsidP="0093299B">
      <w:pPr>
        <w:pStyle w:val="ListContinue3"/>
        <w:ind w:left="1843"/>
      </w:pPr>
      <w:r>
        <w:t xml:space="preserve">Where GROUP(s) indicates </w:t>
      </w:r>
      <w:r w:rsidR="00004113">
        <w:t>the set of</w:t>
      </w:r>
      <w:r>
        <w:t xml:space="preserve"> sequential </w:t>
      </w:r>
      <w:r w:rsidR="00004113">
        <w:t xml:space="preserve">schedules that contain schedule s </w:t>
      </w:r>
      <w:r w:rsidR="00C74BB5">
        <w:t xml:space="preserve">and which have the same signed initial </w:t>
      </w:r>
      <w:r w:rsidR="00C74BB5" w:rsidRPr="005D11C2">
        <w:rPr>
          <w:i/>
          <w:iCs/>
        </w:rPr>
        <w:t>DTS SP uplift quantity</w:t>
      </w:r>
      <w:r w:rsidR="00903518">
        <w:t xml:space="preserve"> as schedule s.  The rules for defining GROUP(s) are:</w:t>
      </w:r>
    </w:p>
    <w:p w14:paraId="5EAC20EE" w14:textId="0C65A1B8" w:rsidR="00903518" w:rsidRDefault="00D55E5B" w:rsidP="0093299B">
      <w:pPr>
        <w:pStyle w:val="ListContinue3"/>
        <w:ind w:left="2563"/>
      </w:pPr>
      <w:r>
        <w:t>If Initial Q</w:t>
      </w:r>
      <w:r w:rsidR="003F2787">
        <w:t>D</w:t>
      </w:r>
      <w:r w:rsidRPr="00701F0C">
        <w:t>s</w:t>
      </w:r>
      <w:r>
        <w:t xml:space="preserve"> </w:t>
      </w:r>
      <w:r w:rsidRPr="00701F0C">
        <w:t>≥</w:t>
      </w:r>
      <w:r>
        <w:t xml:space="preserve"> 0, </w:t>
      </w:r>
      <w:r w:rsidR="00B37384">
        <w:t>the</w:t>
      </w:r>
      <w:r w:rsidR="004D2C6F">
        <w:t>n</w:t>
      </w:r>
      <w:r w:rsidR="00B37384">
        <w:t xml:space="preserve"> GROUP(s) is the set of </w:t>
      </w:r>
      <w:r w:rsidR="004D2C6F">
        <w:t xml:space="preserve">sequential </w:t>
      </w:r>
      <w:r w:rsidR="00B37384">
        <w:t xml:space="preserve">schedules </w:t>
      </w:r>
      <w:r w:rsidR="00082507">
        <w:t xml:space="preserve">before </w:t>
      </w:r>
      <w:r w:rsidR="00EF068C">
        <w:t>a</w:t>
      </w:r>
      <w:r w:rsidR="00082507">
        <w:t xml:space="preserve">nd after </w:t>
      </w:r>
      <w:r w:rsidR="00A9150A">
        <w:t xml:space="preserve">the </w:t>
      </w:r>
      <w:r w:rsidR="00EF068C">
        <w:t>schedule that all have Q</w:t>
      </w:r>
      <w:r w:rsidR="003F2787">
        <w:t>D</w:t>
      </w:r>
      <w:r w:rsidR="00EF068C" w:rsidRPr="00701F0C">
        <w:t>s</w:t>
      </w:r>
      <w:r w:rsidR="00EF068C">
        <w:t xml:space="preserve"> </w:t>
      </w:r>
      <w:r w:rsidR="00EF068C" w:rsidRPr="00701F0C">
        <w:t>≥</w:t>
      </w:r>
      <w:r w:rsidR="00EF068C">
        <w:t xml:space="preserve"> 0</w:t>
      </w:r>
    </w:p>
    <w:p w14:paraId="55E9ECEF" w14:textId="533866D8" w:rsidR="007B1F6B" w:rsidRDefault="007B1F6B" w:rsidP="0093299B">
      <w:pPr>
        <w:pStyle w:val="ListContinue3"/>
        <w:ind w:left="2563"/>
      </w:pPr>
      <w:r>
        <w:t>If Initial Q</w:t>
      </w:r>
      <w:r w:rsidR="003F2787">
        <w:t>D</w:t>
      </w:r>
      <w:r w:rsidRPr="00701F0C">
        <w:t>s</w:t>
      </w:r>
      <w:r>
        <w:t xml:space="preserve"> </w:t>
      </w:r>
      <w:r w:rsidRPr="00701F0C">
        <w:t>&lt;</w:t>
      </w:r>
      <w:r>
        <w:t xml:space="preserve"> 0, then GROUP(s) is the set of sequential schedules before </w:t>
      </w:r>
      <w:r w:rsidR="00A54248">
        <w:t>and</w:t>
      </w:r>
      <w:r>
        <w:t xml:space="preserve"> after</w:t>
      </w:r>
      <w:r w:rsidR="00A853DD">
        <w:t xml:space="preserve"> the</w:t>
      </w:r>
      <w:r>
        <w:t xml:space="preserve"> schedule that all have Q</w:t>
      </w:r>
      <w:r w:rsidR="003F2787">
        <w:t>D</w:t>
      </w:r>
      <w:r w:rsidRPr="00701F0C">
        <w:t>s</w:t>
      </w:r>
      <w:r>
        <w:t xml:space="preserve"> </w:t>
      </w:r>
      <w:r w:rsidRPr="00701F0C">
        <w:t>&lt;</w:t>
      </w:r>
      <w:r>
        <w:t xml:space="preserve"> 0</w:t>
      </w:r>
    </w:p>
    <w:p w14:paraId="46627D2E" w14:textId="289967E7" w:rsidR="00712F37" w:rsidRDefault="009B5B85" w:rsidP="00365602">
      <w:pPr>
        <w:pStyle w:val="Caption"/>
        <w:ind w:left="1843"/>
      </w:pPr>
      <w:r>
        <w:t xml:space="preserve">Table </w:t>
      </w:r>
      <w:r>
        <w:fldChar w:fldCharType="begin"/>
      </w:r>
      <w:r>
        <w:instrText>SEQ Table \* ARABIC</w:instrText>
      </w:r>
      <w:r>
        <w:fldChar w:fldCharType="separate"/>
      </w:r>
      <w:r w:rsidR="00BA68AF">
        <w:rPr>
          <w:noProof/>
        </w:rPr>
        <w:t>2</w:t>
      </w:r>
      <w:r>
        <w:fldChar w:fldCharType="end"/>
      </w:r>
      <w:r>
        <w:t xml:space="preserve"> Example of </w:t>
      </w:r>
      <w:r w:rsidR="008D46DB">
        <w:t xml:space="preserve">Final </w:t>
      </w:r>
      <w:r>
        <w:t xml:space="preserve">DTS SP Uplift </w:t>
      </w:r>
      <w:r w:rsidR="00104D7C">
        <w:t>quantity</w:t>
      </w:r>
      <w:r w:rsidR="00F96621">
        <w:t xml:space="preserve"> with </w:t>
      </w:r>
      <w:r w:rsidR="00B62637">
        <w:t xml:space="preserve">group of </w:t>
      </w:r>
      <w:r w:rsidR="00F96621">
        <w:t xml:space="preserve">sequential </w:t>
      </w:r>
      <w:r w:rsidR="00B62637">
        <w:t>schedules</w:t>
      </w:r>
      <w:r w:rsidR="00F96621">
        <w:t xml:space="preserve"> </w:t>
      </w:r>
    </w:p>
    <w:tbl>
      <w:tblPr>
        <w:tblStyle w:val="AEMOTable1"/>
        <w:tblW w:w="0" w:type="auto"/>
        <w:tblInd w:w="1843" w:type="dxa"/>
        <w:tblLook w:val="04A0" w:firstRow="1" w:lastRow="0" w:firstColumn="1" w:lastColumn="0" w:noHBand="0" w:noVBand="1"/>
      </w:tblPr>
      <w:tblGrid>
        <w:gridCol w:w="1843"/>
        <w:gridCol w:w="1099"/>
        <w:gridCol w:w="1100"/>
        <w:gridCol w:w="1099"/>
        <w:gridCol w:w="1100"/>
        <w:gridCol w:w="1100"/>
      </w:tblGrid>
      <w:tr w:rsidR="003379A9" w14:paraId="61A78B49" w14:textId="77777777" w:rsidTr="003656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B6F9448" w14:textId="1561AE87" w:rsidR="003379A9" w:rsidRDefault="003379A9" w:rsidP="00A65C94">
            <w:pPr>
              <w:pStyle w:val="TableTitle"/>
            </w:pPr>
          </w:p>
        </w:tc>
        <w:tc>
          <w:tcPr>
            <w:tcW w:w="1099" w:type="dxa"/>
          </w:tcPr>
          <w:p w14:paraId="3B84E7F5" w14:textId="0A3816D7" w:rsidR="003379A9" w:rsidRDefault="00C4516D" w:rsidP="0039383E">
            <w:pPr>
              <w:pStyle w:val="TableTitle"/>
              <w:jc w:val="center"/>
              <w:cnfStyle w:val="100000000000" w:firstRow="1" w:lastRow="0" w:firstColumn="0" w:lastColumn="0" w:oddVBand="0" w:evenVBand="0" w:oddHBand="0" w:evenHBand="0" w:firstRowFirstColumn="0" w:firstRowLastColumn="0" w:lastRowFirstColumn="0" w:lastRowLastColumn="0"/>
            </w:pPr>
            <w:r>
              <w:t>1</w:t>
            </w:r>
          </w:p>
        </w:tc>
        <w:tc>
          <w:tcPr>
            <w:tcW w:w="1100" w:type="dxa"/>
            <w:tcBorders>
              <w:bottom w:val="single" w:sz="12" w:space="0" w:color="auto"/>
            </w:tcBorders>
          </w:tcPr>
          <w:p w14:paraId="21282B91" w14:textId="1119457D" w:rsidR="003379A9" w:rsidRDefault="00C4516D" w:rsidP="0039383E">
            <w:pPr>
              <w:pStyle w:val="TableTitle"/>
              <w:jc w:val="center"/>
              <w:cnfStyle w:val="100000000000" w:firstRow="1" w:lastRow="0" w:firstColumn="0" w:lastColumn="0" w:oddVBand="0" w:evenVBand="0" w:oddHBand="0" w:evenHBand="0" w:firstRowFirstColumn="0" w:firstRowLastColumn="0" w:lastRowFirstColumn="0" w:lastRowLastColumn="0"/>
            </w:pPr>
            <w:r>
              <w:t>2</w:t>
            </w:r>
          </w:p>
        </w:tc>
        <w:tc>
          <w:tcPr>
            <w:tcW w:w="1099" w:type="dxa"/>
            <w:tcBorders>
              <w:bottom w:val="single" w:sz="12" w:space="0" w:color="auto"/>
            </w:tcBorders>
          </w:tcPr>
          <w:p w14:paraId="32987D34" w14:textId="211A0E48" w:rsidR="003379A9" w:rsidRDefault="00C4516D" w:rsidP="0039383E">
            <w:pPr>
              <w:pStyle w:val="TableTitle"/>
              <w:jc w:val="center"/>
              <w:cnfStyle w:val="100000000000" w:firstRow="1" w:lastRow="0" w:firstColumn="0" w:lastColumn="0" w:oddVBand="0" w:evenVBand="0" w:oddHBand="0" w:evenHBand="0" w:firstRowFirstColumn="0" w:firstRowLastColumn="0" w:lastRowFirstColumn="0" w:lastRowLastColumn="0"/>
            </w:pPr>
            <w:r>
              <w:t>3</w:t>
            </w:r>
          </w:p>
        </w:tc>
        <w:tc>
          <w:tcPr>
            <w:tcW w:w="1100" w:type="dxa"/>
          </w:tcPr>
          <w:p w14:paraId="1F0805CA" w14:textId="5F5C2005" w:rsidR="003379A9" w:rsidRDefault="00C4516D" w:rsidP="0039383E">
            <w:pPr>
              <w:pStyle w:val="TableTitle"/>
              <w:jc w:val="center"/>
              <w:cnfStyle w:val="100000000000" w:firstRow="1" w:lastRow="0" w:firstColumn="0" w:lastColumn="0" w:oddVBand="0" w:evenVBand="0" w:oddHBand="0" w:evenHBand="0" w:firstRowFirstColumn="0" w:firstRowLastColumn="0" w:lastRowFirstColumn="0" w:lastRowLastColumn="0"/>
            </w:pPr>
            <w:r>
              <w:t>4</w:t>
            </w:r>
          </w:p>
        </w:tc>
        <w:tc>
          <w:tcPr>
            <w:tcW w:w="1100" w:type="dxa"/>
          </w:tcPr>
          <w:p w14:paraId="11D2DE51" w14:textId="7973BFAB" w:rsidR="003379A9" w:rsidRDefault="00C4516D" w:rsidP="0039383E">
            <w:pPr>
              <w:pStyle w:val="TableTitle"/>
              <w:jc w:val="center"/>
              <w:cnfStyle w:val="100000000000" w:firstRow="1" w:lastRow="0" w:firstColumn="0" w:lastColumn="0" w:oddVBand="0" w:evenVBand="0" w:oddHBand="0" w:evenHBand="0" w:firstRowFirstColumn="0" w:firstRowLastColumn="0" w:lastRowFirstColumn="0" w:lastRowLastColumn="0"/>
            </w:pPr>
            <w:r>
              <w:t>5</w:t>
            </w:r>
          </w:p>
        </w:tc>
      </w:tr>
      <w:tr w:rsidR="00302EBD" w14:paraId="0C1ED2CA" w14:textId="77777777" w:rsidTr="00365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739762C2" w14:textId="319C659A" w:rsidR="00A00586" w:rsidRDefault="00A00586" w:rsidP="00A00586">
            <w:pPr>
              <w:pStyle w:val="TableText"/>
            </w:pPr>
            <w:r>
              <w:t>Initial Q</w:t>
            </w:r>
            <w:r w:rsidR="003F2787">
              <w:t>D</w:t>
            </w:r>
            <w:r w:rsidRPr="00701F0C">
              <w:t>s</w:t>
            </w:r>
          </w:p>
        </w:tc>
        <w:tc>
          <w:tcPr>
            <w:tcW w:w="1099" w:type="dxa"/>
            <w:tcBorders>
              <w:right w:val="single" w:sz="12" w:space="0" w:color="auto"/>
            </w:tcBorders>
          </w:tcPr>
          <w:p w14:paraId="4A0B1BAF" w14:textId="1E56900A" w:rsidR="00A00586" w:rsidRPr="00844E8A" w:rsidRDefault="00A00586" w:rsidP="0039383E">
            <w:pPr>
              <w:pStyle w:val="TableText"/>
              <w:jc w:val="center"/>
              <w:cnfStyle w:val="000000100000" w:firstRow="0" w:lastRow="0" w:firstColumn="0" w:lastColumn="0" w:oddVBand="0" w:evenVBand="0" w:oddHBand="1" w:evenHBand="0" w:firstRowFirstColumn="0" w:firstRowLastColumn="0" w:lastRowFirstColumn="0" w:lastRowLastColumn="0"/>
            </w:pPr>
            <w:r w:rsidRPr="00A94106">
              <w:t>900</w:t>
            </w:r>
          </w:p>
        </w:tc>
        <w:tc>
          <w:tcPr>
            <w:tcW w:w="1100" w:type="dxa"/>
            <w:tcBorders>
              <w:top w:val="single" w:sz="12" w:space="0" w:color="auto"/>
              <w:left w:val="single" w:sz="12" w:space="0" w:color="auto"/>
              <w:bottom w:val="single" w:sz="8" w:space="0" w:color="FFFFFF" w:themeColor="background1"/>
            </w:tcBorders>
          </w:tcPr>
          <w:p w14:paraId="790D3496" w14:textId="79E08F9E" w:rsidR="00A00586" w:rsidRPr="00844E8A" w:rsidRDefault="00A00586" w:rsidP="0039383E">
            <w:pPr>
              <w:pStyle w:val="TableText"/>
              <w:jc w:val="center"/>
              <w:cnfStyle w:val="000000100000" w:firstRow="0" w:lastRow="0" w:firstColumn="0" w:lastColumn="0" w:oddVBand="0" w:evenVBand="0" w:oddHBand="1" w:evenHBand="0" w:firstRowFirstColumn="0" w:firstRowLastColumn="0" w:lastRowFirstColumn="0" w:lastRowLastColumn="0"/>
            </w:pPr>
            <w:r w:rsidRPr="00A94106">
              <w:t>-400</w:t>
            </w:r>
          </w:p>
        </w:tc>
        <w:tc>
          <w:tcPr>
            <w:tcW w:w="1099" w:type="dxa"/>
            <w:tcBorders>
              <w:top w:val="single" w:sz="12" w:space="0" w:color="auto"/>
              <w:bottom w:val="single" w:sz="8" w:space="0" w:color="FFFFFF" w:themeColor="background1"/>
              <w:right w:val="single" w:sz="12" w:space="0" w:color="auto"/>
            </w:tcBorders>
          </w:tcPr>
          <w:p w14:paraId="11B49441" w14:textId="36F2A53F" w:rsidR="00A00586" w:rsidRPr="00844E8A" w:rsidRDefault="00A00586" w:rsidP="0039383E">
            <w:pPr>
              <w:pStyle w:val="TableText"/>
              <w:jc w:val="center"/>
              <w:cnfStyle w:val="000000100000" w:firstRow="0" w:lastRow="0" w:firstColumn="0" w:lastColumn="0" w:oddVBand="0" w:evenVBand="0" w:oddHBand="1" w:evenHBand="0" w:firstRowFirstColumn="0" w:firstRowLastColumn="0" w:lastRowFirstColumn="0" w:lastRowLastColumn="0"/>
            </w:pPr>
            <w:r w:rsidRPr="00A94106">
              <w:t>-800</w:t>
            </w:r>
          </w:p>
        </w:tc>
        <w:tc>
          <w:tcPr>
            <w:tcW w:w="1100" w:type="dxa"/>
            <w:tcBorders>
              <w:left w:val="single" w:sz="12" w:space="0" w:color="auto"/>
            </w:tcBorders>
          </w:tcPr>
          <w:p w14:paraId="57A84B1E" w14:textId="15BA3DAD" w:rsidR="00A00586" w:rsidRDefault="00A00586" w:rsidP="0039383E">
            <w:pPr>
              <w:pStyle w:val="TableText"/>
              <w:jc w:val="center"/>
              <w:cnfStyle w:val="000000100000" w:firstRow="0" w:lastRow="0" w:firstColumn="0" w:lastColumn="0" w:oddVBand="0" w:evenVBand="0" w:oddHBand="1" w:evenHBand="0" w:firstRowFirstColumn="0" w:firstRowLastColumn="0" w:lastRowFirstColumn="0" w:lastRowLastColumn="0"/>
            </w:pPr>
            <w:r w:rsidRPr="00A94106">
              <w:t>200</w:t>
            </w:r>
          </w:p>
        </w:tc>
        <w:tc>
          <w:tcPr>
            <w:tcW w:w="1100" w:type="dxa"/>
          </w:tcPr>
          <w:p w14:paraId="6E569F01" w14:textId="24DCDCE2" w:rsidR="00A00586" w:rsidRDefault="00A00586" w:rsidP="0039383E">
            <w:pPr>
              <w:pStyle w:val="TableText"/>
              <w:jc w:val="center"/>
              <w:cnfStyle w:val="000000100000" w:firstRow="0" w:lastRow="0" w:firstColumn="0" w:lastColumn="0" w:oddVBand="0" w:evenVBand="0" w:oddHBand="1" w:evenHBand="0" w:firstRowFirstColumn="0" w:firstRowLastColumn="0" w:lastRowFirstColumn="0" w:lastRowLastColumn="0"/>
            </w:pPr>
            <w:r w:rsidRPr="00A94106">
              <w:t>0</w:t>
            </w:r>
          </w:p>
        </w:tc>
      </w:tr>
      <w:tr w:rsidR="0007446F" w14:paraId="7D869EB3" w14:textId="77777777" w:rsidTr="003656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EDAD455" w14:textId="77777777" w:rsidR="00DB0301" w:rsidRDefault="00DB0301" w:rsidP="00A65C94">
            <w:pPr>
              <w:pStyle w:val="TableText"/>
            </w:pPr>
            <w:r>
              <w:t>Group</w:t>
            </w:r>
          </w:p>
        </w:tc>
        <w:tc>
          <w:tcPr>
            <w:tcW w:w="1099" w:type="dxa"/>
            <w:tcBorders>
              <w:right w:val="single" w:sz="12" w:space="0" w:color="auto"/>
            </w:tcBorders>
          </w:tcPr>
          <w:p w14:paraId="6C1098FE" w14:textId="77777777" w:rsidR="00DB0301" w:rsidRPr="00844E8A" w:rsidRDefault="00DB0301" w:rsidP="0039383E">
            <w:pPr>
              <w:pStyle w:val="TableText"/>
              <w:jc w:val="center"/>
              <w:cnfStyle w:val="000000010000" w:firstRow="0" w:lastRow="0" w:firstColumn="0" w:lastColumn="0" w:oddVBand="0" w:evenVBand="0" w:oddHBand="0" w:evenHBand="1" w:firstRowFirstColumn="0" w:firstRowLastColumn="0" w:lastRowFirstColumn="0" w:lastRowLastColumn="0"/>
            </w:pPr>
            <w:r>
              <w:t>1</w:t>
            </w:r>
          </w:p>
        </w:tc>
        <w:tc>
          <w:tcPr>
            <w:tcW w:w="1100" w:type="dxa"/>
            <w:tcBorders>
              <w:top w:val="single" w:sz="8" w:space="0" w:color="FFFFFF" w:themeColor="background1"/>
              <w:left w:val="single" w:sz="12" w:space="0" w:color="auto"/>
              <w:bottom w:val="single" w:sz="12" w:space="0" w:color="auto"/>
            </w:tcBorders>
          </w:tcPr>
          <w:p w14:paraId="53CA397D" w14:textId="77777777" w:rsidR="00DB0301" w:rsidRPr="00844E8A" w:rsidRDefault="00DB0301" w:rsidP="0039383E">
            <w:pPr>
              <w:pStyle w:val="TableText"/>
              <w:jc w:val="center"/>
              <w:cnfStyle w:val="000000010000" w:firstRow="0" w:lastRow="0" w:firstColumn="0" w:lastColumn="0" w:oddVBand="0" w:evenVBand="0" w:oddHBand="0" w:evenHBand="1" w:firstRowFirstColumn="0" w:firstRowLastColumn="0" w:lastRowFirstColumn="0" w:lastRowLastColumn="0"/>
            </w:pPr>
            <w:r>
              <w:t>2</w:t>
            </w:r>
          </w:p>
        </w:tc>
        <w:tc>
          <w:tcPr>
            <w:tcW w:w="1099" w:type="dxa"/>
            <w:tcBorders>
              <w:top w:val="single" w:sz="8" w:space="0" w:color="FFFFFF" w:themeColor="background1"/>
              <w:bottom w:val="single" w:sz="12" w:space="0" w:color="auto"/>
              <w:right w:val="single" w:sz="12" w:space="0" w:color="auto"/>
            </w:tcBorders>
          </w:tcPr>
          <w:p w14:paraId="100C5BEF" w14:textId="77777777" w:rsidR="00DB0301" w:rsidRPr="00844E8A" w:rsidRDefault="00DB0301" w:rsidP="0039383E">
            <w:pPr>
              <w:pStyle w:val="TableText"/>
              <w:jc w:val="center"/>
              <w:cnfStyle w:val="000000010000" w:firstRow="0" w:lastRow="0" w:firstColumn="0" w:lastColumn="0" w:oddVBand="0" w:evenVBand="0" w:oddHBand="0" w:evenHBand="1" w:firstRowFirstColumn="0" w:firstRowLastColumn="0" w:lastRowFirstColumn="0" w:lastRowLastColumn="0"/>
            </w:pPr>
            <w:r>
              <w:t>2</w:t>
            </w:r>
          </w:p>
        </w:tc>
        <w:tc>
          <w:tcPr>
            <w:tcW w:w="1100" w:type="dxa"/>
            <w:tcBorders>
              <w:left w:val="single" w:sz="12" w:space="0" w:color="auto"/>
            </w:tcBorders>
          </w:tcPr>
          <w:p w14:paraId="452FAC67" w14:textId="77777777" w:rsidR="00DB0301" w:rsidRDefault="00DB0301" w:rsidP="0039383E">
            <w:pPr>
              <w:pStyle w:val="TableText"/>
              <w:jc w:val="center"/>
              <w:cnfStyle w:val="000000010000" w:firstRow="0" w:lastRow="0" w:firstColumn="0" w:lastColumn="0" w:oddVBand="0" w:evenVBand="0" w:oddHBand="0" w:evenHBand="1" w:firstRowFirstColumn="0" w:firstRowLastColumn="0" w:lastRowFirstColumn="0" w:lastRowLastColumn="0"/>
            </w:pPr>
            <w:r>
              <w:t>3</w:t>
            </w:r>
          </w:p>
        </w:tc>
        <w:tc>
          <w:tcPr>
            <w:tcW w:w="1100" w:type="dxa"/>
          </w:tcPr>
          <w:p w14:paraId="50F5B752" w14:textId="77777777" w:rsidR="00DB0301" w:rsidRDefault="00DB0301" w:rsidP="0039383E">
            <w:pPr>
              <w:pStyle w:val="TableText"/>
              <w:jc w:val="center"/>
              <w:cnfStyle w:val="000000010000" w:firstRow="0" w:lastRow="0" w:firstColumn="0" w:lastColumn="0" w:oddVBand="0" w:evenVBand="0" w:oddHBand="0" w:evenHBand="1" w:firstRowFirstColumn="0" w:firstRowLastColumn="0" w:lastRowFirstColumn="0" w:lastRowLastColumn="0"/>
            </w:pPr>
            <w:r>
              <w:t>3</w:t>
            </w:r>
          </w:p>
        </w:tc>
      </w:tr>
      <w:tr w:rsidR="00302EBD" w14:paraId="6840100D" w14:textId="77777777" w:rsidTr="00365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58958BE" w14:textId="43656A3A" w:rsidR="00F553E9" w:rsidRDefault="003E7E17" w:rsidP="00F553E9">
            <w:pPr>
              <w:pStyle w:val="TableText"/>
            </w:pPr>
            <w:r>
              <w:t>Init</w:t>
            </w:r>
            <w:r w:rsidR="00A65C94">
              <w:t>Dist</w:t>
            </w:r>
            <w:r w:rsidR="00F553E9">
              <w:t xml:space="preserve"> Q</w:t>
            </w:r>
            <w:r w:rsidR="003F2787">
              <w:t>D</w:t>
            </w:r>
            <w:r w:rsidR="00F553E9">
              <w:rPr>
                <w:vertAlign w:val="subscript"/>
              </w:rPr>
              <w:t>s</w:t>
            </w:r>
          </w:p>
        </w:tc>
        <w:tc>
          <w:tcPr>
            <w:tcW w:w="1099" w:type="dxa"/>
          </w:tcPr>
          <w:p w14:paraId="3AC5B069" w14:textId="3C7D1481" w:rsidR="00F553E9" w:rsidRPr="00844E8A" w:rsidRDefault="00F553E9" w:rsidP="0039383E">
            <w:pPr>
              <w:pStyle w:val="TableText"/>
              <w:jc w:val="center"/>
              <w:cnfStyle w:val="000000100000" w:firstRow="0" w:lastRow="0" w:firstColumn="0" w:lastColumn="0" w:oddVBand="0" w:evenVBand="0" w:oddHBand="1" w:evenHBand="0" w:firstRowFirstColumn="0" w:firstRowLastColumn="0" w:lastRowFirstColumn="0" w:lastRowLastColumn="0"/>
            </w:pPr>
            <w:r w:rsidRPr="00A91B18">
              <w:t>0</w:t>
            </w:r>
          </w:p>
        </w:tc>
        <w:tc>
          <w:tcPr>
            <w:tcW w:w="1100" w:type="dxa"/>
            <w:tcBorders>
              <w:top w:val="single" w:sz="12" w:space="0" w:color="auto"/>
            </w:tcBorders>
          </w:tcPr>
          <w:p w14:paraId="4D80BAA7" w14:textId="2588782D" w:rsidR="00F553E9" w:rsidRPr="00844E8A" w:rsidRDefault="00F553E9" w:rsidP="0039383E">
            <w:pPr>
              <w:pStyle w:val="TableText"/>
              <w:jc w:val="center"/>
              <w:cnfStyle w:val="000000100000" w:firstRow="0" w:lastRow="0" w:firstColumn="0" w:lastColumn="0" w:oddVBand="0" w:evenVBand="0" w:oddHBand="1" w:evenHBand="0" w:firstRowFirstColumn="0" w:firstRowLastColumn="0" w:lastRowFirstColumn="0" w:lastRowLastColumn="0"/>
            </w:pPr>
            <w:r w:rsidRPr="00A91B18">
              <w:t>0</w:t>
            </w:r>
          </w:p>
        </w:tc>
        <w:tc>
          <w:tcPr>
            <w:tcW w:w="1099" w:type="dxa"/>
            <w:tcBorders>
              <w:top w:val="single" w:sz="12" w:space="0" w:color="auto"/>
            </w:tcBorders>
          </w:tcPr>
          <w:p w14:paraId="511E1DD4" w14:textId="7F770B9E" w:rsidR="00F553E9" w:rsidRPr="00844E8A" w:rsidRDefault="00F553E9" w:rsidP="0039383E">
            <w:pPr>
              <w:pStyle w:val="TableText"/>
              <w:jc w:val="center"/>
              <w:cnfStyle w:val="000000100000" w:firstRow="0" w:lastRow="0" w:firstColumn="0" w:lastColumn="0" w:oddVBand="0" w:evenVBand="0" w:oddHBand="1" w:evenHBand="0" w:firstRowFirstColumn="0" w:firstRowLastColumn="0" w:lastRowFirstColumn="0" w:lastRowLastColumn="0"/>
            </w:pPr>
            <w:r w:rsidRPr="00A91B18">
              <w:t>-300</w:t>
            </w:r>
          </w:p>
        </w:tc>
        <w:tc>
          <w:tcPr>
            <w:tcW w:w="1100" w:type="dxa"/>
          </w:tcPr>
          <w:p w14:paraId="0B6B3FAF" w14:textId="1505B239" w:rsidR="00F553E9" w:rsidRDefault="00F553E9" w:rsidP="0039383E">
            <w:pPr>
              <w:pStyle w:val="TableText"/>
              <w:jc w:val="center"/>
              <w:cnfStyle w:val="000000100000" w:firstRow="0" w:lastRow="0" w:firstColumn="0" w:lastColumn="0" w:oddVBand="0" w:evenVBand="0" w:oddHBand="1" w:evenHBand="0" w:firstRowFirstColumn="0" w:firstRowLastColumn="0" w:lastRowFirstColumn="0" w:lastRowLastColumn="0"/>
            </w:pPr>
            <w:r w:rsidRPr="00A91B18">
              <w:t>200</w:t>
            </w:r>
          </w:p>
        </w:tc>
        <w:tc>
          <w:tcPr>
            <w:tcW w:w="1100" w:type="dxa"/>
          </w:tcPr>
          <w:p w14:paraId="2C76E51B" w14:textId="1692F812" w:rsidR="00F553E9" w:rsidRDefault="00F553E9" w:rsidP="0039383E">
            <w:pPr>
              <w:pStyle w:val="TableText"/>
              <w:jc w:val="center"/>
              <w:cnfStyle w:val="000000100000" w:firstRow="0" w:lastRow="0" w:firstColumn="0" w:lastColumn="0" w:oddVBand="0" w:evenVBand="0" w:oddHBand="1" w:evenHBand="0" w:firstRowFirstColumn="0" w:firstRowLastColumn="0" w:lastRowFirstColumn="0" w:lastRowLastColumn="0"/>
            </w:pPr>
            <w:r w:rsidRPr="00A91B18">
              <w:t>0</w:t>
            </w:r>
          </w:p>
        </w:tc>
      </w:tr>
      <w:tr w:rsidR="00E75989" w14:paraId="5CBE0B32" w14:textId="77777777" w:rsidTr="003656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FB3A4D7" w14:textId="25C1BF92" w:rsidR="00E75989" w:rsidRDefault="00E75989" w:rsidP="00E75989">
            <w:pPr>
              <w:pStyle w:val="TableText"/>
            </w:pPr>
            <w:r>
              <w:rPr>
                <w:rFonts w:ascii="Symbol" w:eastAsia="Symbol" w:hAnsi="Symbol" w:cs="Symbol"/>
              </w:rPr>
              <w:t>S</w:t>
            </w:r>
            <w:r>
              <w:rPr>
                <w:vertAlign w:val="subscript"/>
              </w:rPr>
              <w:t xml:space="preserve">s’ in GROUP(s) </w:t>
            </w:r>
            <w:r>
              <w:t>Adj Q</w:t>
            </w:r>
            <w:r w:rsidR="003F2787">
              <w:t>D</w:t>
            </w:r>
            <w:r>
              <w:rPr>
                <w:vertAlign w:val="subscript"/>
              </w:rPr>
              <w:t>s’</w:t>
            </w:r>
          </w:p>
        </w:tc>
        <w:tc>
          <w:tcPr>
            <w:tcW w:w="1099" w:type="dxa"/>
          </w:tcPr>
          <w:p w14:paraId="39C7B143" w14:textId="5D9F9CFF" w:rsidR="00E75989" w:rsidRPr="00A45B40" w:rsidRDefault="00E75989" w:rsidP="00E75989">
            <w:pPr>
              <w:pStyle w:val="TableText"/>
              <w:jc w:val="center"/>
              <w:cnfStyle w:val="000000010000" w:firstRow="0" w:lastRow="0" w:firstColumn="0" w:lastColumn="0" w:oddVBand="0" w:evenVBand="0" w:oddHBand="0" w:evenHBand="1" w:firstRowFirstColumn="0" w:firstRowLastColumn="0" w:lastRowFirstColumn="0" w:lastRowLastColumn="0"/>
            </w:pPr>
            <w:r w:rsidRPr="00E92D60">
              <w:t>0</w:t>
            </w:r>
          </w:p>
        </w:tc>
        <w:tc>
          <w:tcPr>
            <w:tcW w:w="1100" w:type="dxa"/>
          </w:tcPr>
          <w:p w14:paraId="22AE31C0" w14:textId="77777777" w:rsidR="00F000D5" w:rsidRDefault="00451AE5" w:rsidP="00E75989">
            <w:pPr>
              <w:pStyle w:val="TableText"/>
              <w:jc w:val="center"/>
              <w:cnfStyle w:val="000000010000" w:firstRow="0" w:lastRow="0" w:firstColumn="0" w:lastColumn="0" w:oddVBand="0" w:evenVBand="0" w:oddHBand="0" w:evenHBand="1" w:firstRowFirstColumn="0" w:firstRowLastColumn="0" w:lastRowFirstColumn="0" w:lastRowLastColumn="0"/>
            </w:pPr>
            <w:r>
              <w:t xml:space="preserve">= </w:t>
            </w:r>
            <w:r w:rsidR="00F000D5">
              <w:t>0 + (-300)</w:t>
            </w:r>
          </w:p>
          <w:p w14:paraId="3CE82A10" w14:textId="6DB0B4E2" w:rsidR="00E75989" w:rsidRPr="00A45B40" w:rsidRDefault="559A6011" w:rsidP="00E75989">
            <w:pPr>
              <w:pStyle w:val="TableText"/>
              <w:jc w:val="center"/>
              <w:cnfStyle w:val="000000010000" w:firstRow="0" w:lastRow="0" w:firstColumn="0" w:lastColumn="0" w:oddVBand="0" w:evenVBand="0" w:oddHBand="0" w:evenHBand="1" w:firstRowFirstColumn="0" w:firstRowLastColumn="0" w:lastRowFirstColumn="0" w:lastRowLastColumn="0"/>
            </w:pPr>
            <w:r>
              <w:t>=</w:t>
            </w:r>
            <w:r w:rsidR="00E75989">
              <w:t>-</w:t>
            </w:r>
            <w:r w:rsidR="00E75989" w:rsidRPr="00E92D60">
              <w:t>300</w:t>
            </w:r>
          </w:p>
        </w:tc>
        <w:tc>
          <w:tcPr>
            <w:tcW w:w="1099" w:type="dxa"/>
          </w:tcPr>
          <w:p w14:paraId="7CDF598E" w14:textId="77777777" w:rsidR="00F000D5" w:rsidRDefault="00F000D5" w:rsidP="00F000D5">
            <w:pPr>
              <w:pStyle w:val="TableText"/>
              <w:jc w:val="center"/>
              <w:cnfStyle w:val="000000010000" w:firstRow="0" w:lastRow="0" w:firstColumn="0" w:lastColumn="0" w:oddVBand="0" w:evenVBand="0" w:oddHBand="0" w:evenHBand="1" w:firstRowFirstColumn="0" w:firstRowLastColumn="0" w:lastRowFirstColumn="0" w:lastRowLastColumn="0"/>
            </w:pPr>
            <w:r>
              <w:t>= 0 + (-300)</w:t>
            </w:r>
          </w:p>
          <w:p w14:paraId="31A26FAC" w14:textId="5A9D84C7" w:rsidR="00E75989" w:rsidRPr="00A45B40" w:rsidRDefault="185480DE" w:rsidP="00E75989">
            <w:pPr>
              <w:pStyle w:val="TableText"/>
              <w:jc w:val="center"/>
              <w:cnfStyle w:val="000000010000" w:firstRow="0" w:lastRow="0" w:firstColumn="0" w:lastColumn="0" w:oddVBand="0" w:evenVBand="0" w:oddHBand="0" w:evenHBand="1" w:firstRowFirstColumn="0" w:firstRowLastColumn="0" w:lastRowFirstColumn="0" w:lastRowLastColumn="0"/>
            </w:pPr>
            <w:r>
              <w:t>=</w:t>
            </w:r>
            <w:r w:rsidR="00E75989">
              <w:t>-</w:t>
            </w:r>
            <w:r w:rsidR="00E75989" w:rsidRPr="00E92D60">
              <w:t>300</w:t>
            </w:r>
          </w:p>
        </w:tc>
        <w:tc>
          <w:tcPr>
            <w:tcW w:w="1100" w:type="dxa"/>
          </w:tcPr>
          <w:p w14:paraId="3FA2D461" w14:textId="40E0331D" w:rsidR="00E75989" w:rsidRPr="00A45B40" w:rsidRDefault="00E75989" w:rsidP="00E75989">
            <w:pPr>
              <w:pStyle w:val="TableText"/>
              <w:jc w:val="center"/>
              <w:cnfStyle w:val="000000010000" w:firstRow="0" w:lastRow="0" w:firstColumn="0" w:lastColumn="0" w:oddVBand="0" w:evenVBand="0" w:oddHBand="0" w:evenHBand="1" w:firstRowFirstColumn="0" w:firstRowLastColumn="0" w:lastRowFirstColumn="0" w:lastRowLastColumn="0"/>
            </w:pPr>
            <w:r w:rsidRPr="00E92D60">
              <w:t>200</w:t>
            </w:r>
          </w:p>
        </w:tc>
        <w:tc>
          <w:tcPr>
            <w:tcW w:w="1100" w:type="dxa"/>
          </w:tcPr>
          <w:p w14:paraId="64BA5E3C" w14:textId="7415BE04" w:rsidR="00E75989" w:rsidRPr="00A45B40" w:rsidRDefault="00E75989" w:rsidP="00E75989">
            <w:pPr>
              <w:pStyle w:val="TableText"/>
              <w:jc w:val="center"/>
              <w:cnfStyle w:val="000000010000" w:firstRow="0" w:lastRow="0" w:firstColumn="0" w:lastColumn="0" w:oddVBand="0" w:evenVBand="0" w:oddHBand="0" w:evenHBand="1" w:firstRowFirstColumn="0" w:firstRowLastColumn="0" w:lastRowFirstColumn="0" w:lastRowLastColumn="0"/>
            </w:pPr>
            <w:r w:rsidRPr="00E92D60">
              <w:t>200</w:t>
            </w:r>
          </w:p>
        </w:tc>
      </w:tr>
      <w:tr w:rsidR="004F5D40" w14:paraId="766E7EA2" w14:textId="77777777" w:rsidTr="00365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DCFBBE4" w14:textId="69EA1F95" w:rsidR="004F5D40" w:rsidRDefault="004F5D40" w:rsidP="004F5D40">
            <w:pPr>
              <w:pStyle w:val="TableText"/>
            </w:pPr>
            <w:r>
              <w:rPr>
                <w:rFonts w:ascii="Symbol" w:eastAsia="Symbol" w:hAnsi="Symbol" w:cs="Symbol"/>
              </w:rPr>
              <w:t>S</w:t>
            </w:r>
            <w:r>
              <w:rPr>
                <w:vertAlign w:val="subscript"/>
              </w:rPr>
              <w:t xml:space="preserve">s’ in GROUP(s) </w:t>
            </w:r>
            <w:r>
              <w:t>Initial Q</w:t>
            </w:r>
            <w:r w:rsidR="003F2787">
              <w:t>D</w:t>
            </w:r>
            <w:r>
              <w:rPr>
                <w:vertAlign w:val="subscript"/>
              </w:rPr>
              <w:t>s’</w:t>
            </w:r>
          </w:p>
        </w:tc>
        <w:tc>
          <w:tcPr>
            <w:tcW w:w="1099" w:type="dxa"/>
          </w:tcPr>
          <w:p w14:paraId="3567EA9A" w14:textId="0127A188" w:rsidR="004F5D40" w:rsidRPr="00A45B40" w:rsidRDefault="004F5D40" w:rsidP="004F5D40">
            <w:pPr>
              <w:pStyle w:val="TableText"/>
              <w:jc w:val="center"/>
              <w:cnfStyle w:val="000000100000" w:firstRow="0" w:lastRow="0" w:firstColumn="0" w:lastColumn="0" w:oddVBand="0" w:evenVBand="0" w:oddHBand="1" w:evenHBand="0" w:firstRowFirstColumn="0" w:firstRowLastColumn="0" w:lastRowFirstColumn="0" w:lastRowLastColumn="0"/>
            </w:pPr>
            <w:r w:rsidRPr="00E92D60">
              <w:t>900</w:t>
            </w:r>
          </w:p>
        </w:tc>
        <w:tc>
          <w:tcPr>
            <w:tcW w:w="1100" w:type="dxa"/>
          </w:tcPr>
          <w:p w14:paraId="758DBBC4" w14:textId="77777777" w:rsidR="004F5D40" w:rsidRDefault="004F5D40" w:rsidP="004F5D40">
            <w:pPr>
              <w:pStyle w:val="TableText"/>
              <w:jc w:val="center"/>
              <w:cnfStyle w:val="000000100000" w:firstRow="0" w:lastRow="0" w:firstColumn="0" w:lastColumn="0" w:oddVBand="0" w:evenVBand="0" w:oddHBand="1" w:evenHBand="0" w:firstRowFirstColumn="0" w:firstRowLastColumn="0" w:lastRowFirstColumn="0" w:lastRowLastColumn="0"/>
            </w:pPr>
            <w:r>
              <w:t>= -400 -800</w:t>
            </w:r>
          </w:p>
          <w:p w14:paraId="6E9FE870" w14:textId="5BC9273B" w:rsidR="004F5D40" w:rsidRPr="00A45B40" w:rsidRDefault="409869B6" w:rsidP="004F5D40">
            <w:pPr>
              <w:pStyle w:val="TableText"/>
              <w:jc w:val="center"/>
              <w:cnfStyle w:val="000000100000" w:firstRow="0" w:lastRow="0" w:firstColumn="0" w:lastColumn="0" w:oddVBand="0" w:evenVBand="0" w:oddHBand="1" w:evenHBand="0" w:firstRowFirstColumn="0" w:firstRowLastColumn="0" w:lastRowFirstColumn="0" w:lastRowLastColumn="0"/>
            </w:pPr>
            <w:r>
              <w:t>=</w:t>
            </w:r>
            <w:r w:rsidR="004F5D40">
              <w:t>-</w:t>
            </w:r>
            <w:r w:rsidR="004F5D40" w:rsidRPr="00E92D60">
              <w:t>1</w:t>
            </w:r>
            <w:r w:rsidR="004F5D40">
              <w:t>,</w:t>
            </w:r>
            <w:r w:rsidR="004F5D40" w:rsidRPr="00E92D60">
              <w:t>200</w:t>
            </w:r>
          </w:p>
        </w:tc>
        <w:tc>
          <w:tcPr>
            <w:tcW w:w="1099" w:type="dxa"/>
          </w:tcPr>
          <w:p w14:paraId="4FD512F8" w14:textId="77777777" w:rsidR="004F5D40" w:rsidRDefault="004F5D40" w:rsidP="004F5D40">
            <w:pPr>
              <w:pStyle w:val="TableText"/>
              <w:jc w:val="center"/>
              <w:cnfStyle w:val="000000100000" w:firstRow="0" w:lastRow="0" w:firstColumn="0" w:lastColumn="0" w:oddVBand="0" w:evenVBand="0" w:oddHBand="1" w:evenHBand="0" w:firstRowFirstColumn="0" w:firstRowLastColumn="0" w:lastRowFirstColumn="0" w:lastRowLastColumn="0"/>
            </w:pPr>
            <w:r>
              <w:t>= -400 -800</w:t>
            </w:r>
          </w:p>
          <w:p w14:paraId="07A5105E" w14:textId="3BC6F518" w:rsidR="004F5D40" w:rsidRPr="00A45B40" w:rsidRDefault="791BC27E" w:rsidP="004F5D40">
            <w:pPr>
              <w:pStyle w:val="TableText"/>
              <w:jc w:val="center"/>
              <w:cnfStyle w:val="000000100000" w:firstRow="0" w:lastRow="0" w:firstColumn="0" w:lastColumn="0" w:oddVBand="0" w:evenVBand="0" w:oddHBand="1" w:evenHBand="0" w:firstRowFirstColumn="0" w:firstRowLastColumn="0" w:lastRowFirstColumn="0" w:lastRowLastColumn="0"/>
            </w:pPr>
            <w:r>
              <w:t>=</w:t>
            </w:r>
            <w:r w:rsidR="004F5D40">
              <w:t>-</w:t>
            </w:r>
            <w:r w:rsidR="004F5D40" w:rsidRPr="00E92D60">
              <w:t>1</w:t>
            </w:r>
            <w:r w:rsidR="004F5D40">
              <w:t>,</w:t>
            </w:r>
            <w:r w:rsidR="004F5D40" w:rsidRPr="00E92D60">
              <w:t>200</w:t>
            </w:r>
          </w:p>
        </w:tc>
        <w:tc>
          <w:tcPr>
            <w:tcW w:w="1100" w:type="dxa"/>
          </w:tcPr>
          <w:p w14:paraId="6271AD67" w14:textId="1A9A7A6B" w:rsidR="004F5D40" w:rsidRPr="00A45B40" w:rsidRDefault="004F5D40" w:rsidP="004F5D40">
            <w:pPr>
              <w:pStyle w:val="TableText"/>
              <w:jc w:val="center"/>
              <w:cnfStyle w:val="000000100000" w:firstRow="0" w:lastRow="0" w:firstColumn="0" w:lastColumn="0" w:oddVBand="0" w:evenVBand="0" w:oddHBand="1" w:evenHBand="0" w:firstRowFirstColumn="0" w:firstRowLastColumn="0" w:lastRowFirstColumn="0" w:lastRowLastColumn="0"/>
            </w:pPr>
            <w:r w:rsidRPr="00E92D60">
              <w:t>200</w:t>
            </w:r>
          </w:p>
        </w:tc>
        <w:tc>
          <w:tcPr>
            <w:tcW w:w="1100" w:type="dxa"/>
          </w:tcPr>
          <w:p w14:paraId="3E163EA8" w14:textId="3357134B" w:rsidR="004F5D40" w:rsidRPr="00A45B40" w:rsidRDefault="004F5D40" w:rsidP="004F5D40">
            <w:pPr>
              <w:pStyle w:val="TableText"/>
              <w:jc w:val="center"/>
              <w:cnfStyle w:val="000000100000" w:firstRow="0" w:lastRow="0" w:firstColumn="0" w:lastColumn="0" w:oddVBand="0" w:evenVBand="0" w:oddHBand="1" w:evenHBand="0" w:firstRowFirstColumn="0" w:firstRowLastColumn="0" w:lastRowFirstColumn="0" w:lastRowLastColumn="0"/>
            </w:pPr>
            <w:r w:rsidRPr="00E92D60">
              <w:t>200</w:t>
            </w:r>
          </w:p>
        </w:tc>
      </w:tr>
      <w:tr w:rsidR="004F5D40" w14:paraId="11B7CA3C" w14:textId="77777777" w:rsidTr="003656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BDDF337" w14:textId="7AAE3CEF" w:rsidR="004F5D40" w:rsidRDefault="00A65C94" w:rsidP="004F5D40">
            <w:pPr>
              <w:pStyle w:val="TableText"/>
            </w:pPr>
            <w:r>
              <w:t>F</w:t>
            </w:r>
            <w:r w:rsidR="003E7E17">
              <w:t>inal</w:t>
            </w:r>
            <w:r>
              <w:t>Dist</w:t>
            </w:r>
            <w:r w:rsidR="004F5D40" w:rsidRPr="005111E6">
              <w:t xml:space="preserve"> </w:t>
            </w:r>
            <w:r w:rsidR="004F5D40">
              <w:t>Q</w:t>
            </w:r>
            <w:r w:rsidR="003F2787">
              <w:t>D</w:t>
            </w:r>
            <w:r w:rsidR="004F5D40">
              <w:rPr>
                <w:vertAlign w:val="subscript"/>
              </w:rPr>
              <w:t>s</w:t>
            </w:r>
          </w:p>
        </w:tc>
        <w:tc>
          <w:tcPr>
            <w:tcW w:w="1099" w:type="dxa"/>
          </w:tcPr>
          <w:p w14:paraId="0673BA67" w14:textId="7FB1308F" w:rsidR="004F5D40" w:rsidRDefault="00632F71" w:rsidP="004F5D40">
            <w:pPr>
              <w:pStyle w:val="TableText"/>
              <w:jc w:val="center"/>
              <w:cnfStyle w:val="000000010000" w:firstRow="0" w:lastRow="0" w:firstColumn="0" w:lastColumn="0" w:oddVBand="0" w:evenVBand="0" w:oddHBand="0" w:evenHBand="1" w:firstRowFirstColumn="0" w:firstRowLastColumn="0" w:lastRowFirstColumn="0" w:lastRowLastColumn="0"/>
            </w:pPr>
            <w:r>
              <w:t>Min [</w:t>
            </w:r>
            <w:r w:rsidR="003E7E17">
              <w:t>0, 900 x 0/900]</w:t>
            </w:r>
          </w:p>
          <w:p w14:paraId="6FE8AA41" w14:textId="2D6CB8E1" w:rsidR="003E7E17" w:rsidRDefault="003E7E17" w:rsidP="004F5D40">
            <w:pPr>
              <w:pStyle w:val="TableText"/>
              <w:jc w:val="center"/>
              <w:cnfStyle w:val="000000010000" w:firstRow="0" w:lastRow="0" w:firstColumn="0" w:lastColumn="0" w:oddVBand="0" w:evenVBand="0" w:oddHBand="0" w:evenHBand="1" w:firstRowFirstColumn="0" w:firstRowLastColumn="0" w:lastRowFirstColumn="0" w:lastRowLastColumn="0"/>
            </w:pPr>
            <w:r>
              <w:t>=</w:t>
            </w:r>
            <w:r w:rsidR="00632F71">
              <w:t>Min [</w:t>
            </w:r>
            <w:r>
              <w:t>0,0]</w:t>
            </w:r>
          </w:p>
          <w:p w14:paraId="4CC85228" w14:textId="5D013C62" w:rsidR="003E7E17" w:rsidRPr="00844E8A" w:rsidRDefault="003E7E17" w:rsidP="004F5D40">
            <w:pPr>
              <w:pStyle w:val="TableText"/>
              <w:jc w:val="center"/>
              <w:cnfStyle w:val="000000010000" w:firstRow="0" w:lastRow="0" w:firstColumn="0" w:lastColumn="0" w:oddVBand="0" w:evenVBand="0" w:oddHBand="0" w:evenHBand="1" w:firstRowFirstColumn="0" w:firstRowLastColumn="0" w:lastRowFirstColumn="0" w:lastRowLastColumn="0"/>
            </w:pPr>
            <w:r>
              <w:t>= 0</w:t>
            </w:r>
          </w:p>
        </w:tc>
        <w:tc>
          <w:tcPr>
            <w:tcW w:w="1100" w:type="dxa"/>
          </w:tcPr>
          <w:p w14:paraId="5E38E5FA" w14:textId="668ADE77" w:rsidR="00FB488C" w:rsidRDefault="00632F71" w:rsidP="004F5D40">
            <w:pPr>
              <w:pStyle w:val="TableText"/>
              <w:jc w:val="center"/>
              <w:cnfStyle w:val="000000010000" w:firstRow="0" w:lastRow="0" w:firstColumn="0" w:lastColumn="0" w:oddVBand="0" w:evenVBand="0" w:oddHBand="0" w:evenHBand="1" w:firstRowFirstColumn="0" w:firstRowLastColumn="0" w:lastRowFirstColumn="0" w:lastRowLastColumn="0"/>
            </w:pPr>
            <w:r>
              <w:t>Min [0, -</w:t>
            </w:r>
            <w:r w:rsidR="004F5D40">
              <w:t xml:space="preserve">400 x </w:t>
            </w:r>
          </w:p>
          <w:p w14:paraId="4045BA2D" w14:textId="1D33474C" w:rsidR="004F5D40" w:rsidRDefault="004F5D40" w:rsidP="004F5D40">
            <w:pPr>
              <w:pStyle w:val="TableText"/>
              <w:jc w:val="center"/>
              <w:cnfStyle w:val="000000010000" w:firstRow="0" w:lastRow="0" w:firstColumn="0" w:lastColumn="0" w:oddVBand="0" w:evenVBand="0" w:oddHBand="0" w:evenHBand="1" w:firstRowFirstColumn="0" w:firstRowLastColumn="0" w:lastRowFirstColumn="0" w:lastRowLastColumn="0"/>
            </w:pPr>
            <w:r>
              <w:t>-300/-1200</w:t>
            </w:r>
            <w:r w:rsidR="003E7E17">
              <w:t>]</w:t>
            </w:r>
          </w:p>
          <w:p w14:paraId="57757F2C" w14:textId="7CFB829C" w:rsidR="004F5D40" w:rsidRDefault="00FB488C" w:rsidP="004F5D40">
            <w:pPr>
              <w:pStyle w:val="TableText"/>
              <w:jc w:val="center"/>
              <w:cnfStyle w:val="000000010000" w:firstRow="0" w:lastRow="0" w:firstColumn="0" w:lastColumn="0" w:oddVBand="0" w:evenVBand="0" w:oddHBand="0" w:evenHBand="1" w:firstRowFirstColumn="0" w:firstRowLastColumn="0" w:lastRowFirstColumn="0" w:lastRowLastColumn="0"/>
            </w:pPr>
            <w:r>
              <w:t xml:space="preserve"> = </w:t>
            </w:r>
            <w:r w:rsidR="00632F71">
              <w:t>Min [0,</w:t>
            </w:r>
            <w:r w:rsidR="00632F71" w:rsidRPr="00A45B40">
              <w:t xml:space="preserve"> -</w:t>
            </w:r>
            <w:r w:rsidR="004F5D40" w:rsidRPr="00A45B40">
              <w:t>100</w:t>
            </w:r>
            <w:r w:rsidR="003E7E17">
              <w:t>]</w:t>
            </w:r>
          </w:p>
          <w:p w14:paraId="3C04A5D1" w14:textId="6D88BBA8" w:rsidR="003E7E17" w:rsidRPr="00844E8A" w:rsidRDefault="003E7E17" w:rsidP="004F5D40">
            <w:pPr>
              <w:pStyle w:val="TableText"/>
              <w:jc w:val="center"/>
              <w:cnfStyle w:val="000000010000" w:firstRow="0" w:lastRow="0" w:firstColumn="0" w:lastColumn="0" w:oddVBand="0" w:evenVBand="0" w:oddHBand="0" w:evenHBand="1" w:firstRowFirstColumn="0" w:firstRowLastColumn="0" w:lastRowFirstColumn="0" w:lastRowLastColumn="0"/>
            </w:pPr>
            <w:r>
              <w:t>= 0</w:t>
            </w:r>
          </w:p>
        </w:tc>
        <w:tc>
          <w:tcPr>
            <w:tcW w:w="1099" w:type="dxa"/>
          </w:tcPr>
          <w:p w14:paraId="52BC7BB1" w14:textId="1A78DF40" w:rsidR="00FB488C" w:rsidRDefault="00632F71" w:rsidP="004F5D40">
            <w:pPr>
              <w:pStyle w:val="TableText"/>
              <w:jc w:val="center"/>
              <w:cnfStyle w:val="000000010000" w:firstRow="0" w:lastRow="0" w:firstColumn="0" w:lastColumn="0" w:oddVBand="0" w:evenVBand="0" w:oddHBand="0" w:evenHBand="1" w:firstRowFirstColumn="0" w:firstRowLastColumn="0" w:lastRowFirstColumn="0" w:lastRowLastColumn="0"/>
            </w:pPr>
            <w:r>
              <w:t>Min [</w:t>
            </w:r>
            <w:r w:rsidR="003E7E17">
              <w:t xml:space="preserve">0, </w:t>
            </w:r>
            <w:r w:rsidR="004F5D40">
              <w:t xml:space="preserve">-800 x </w:t>
            </w:r>
          </w:p>
          <w:p w14:paraId="64F064D2" w14:textId="07D125D4" w:rsidR="004F5D40" w:rsidRDefault="004F5D40" w:rsidP="004F5D40">
            <w:pPr>
              <w:pStyle w:val="TableText"/>
              <w:jc w:val="center"/>
              <w:cnfStyle w:val="000000010000" w:firstRow="0" w:lastRow="0" w:firstColumn="0" w:lastColumn="0" w:oddVBand="0" w:evenVBand="0" w:oddHBand="0" w:evenHBand="1" w:firstRowFirstColumn="0" w:firstRowLastColumn="0" w:lastRowFirstColumn="0" w:lastRowLastColumn="0"/>
            </w:pPr>
            <w:r>
              <w:t>-300/-1200</w:t>
            </w:r>
            <w:r w:rsidR="003E7E17">
              <w:t>]</w:t>
            </w:r>
          </w:p>
          <w:p w14:paraId="5747AB03" w14:textId="19BED8FE" w:rsidR="004F5D40" w:rsidRDefault="00FB488C" w:rsidP="004F5D40">
            <w:pPr>
              <w:pStyle w:val="TableText"/>
              <w:jc w:val="center"/>
              <w:cnfStyle w:val="000000010000" w:firstRow="0" w:lastRow="0" w:firstColumn="0" w:lastColumn="0" w:oddVBand="0" w:evenVBand="0" w:oddHBand="0" w:evenHBand="1" w:firstRowFirstColumn="0" w:firstRowLastColumn="0" w:lastRowFirstColumn="0" w:lastRowLastColumn="0"/>
            </w:pPr>
            <w:r>
              <w:t xml:space="preserve"> = </w:t>
            </w:r>
            <w:r w:rsidR="00632F71">
              <w:t>Min [0,</w:t>
            </w:r>
            <w:r w:rsidR="00632F71" w:rsidRPr="00A45B40">
              <w:t xml:space="preserve"> -</w:t>
            </w:r>
            <w:r>
              <w:t>2</w:t>
            </w:r>
            <w:r w:rsidR="004F5D40" w:rsidRPr="00A45B40">
              <w:t>00</w:t>
            </w:r>
            <w:r w:rsidR="003E7E17">
              <w:t>]</w:t>
            </w:r>
          </w:p>
          <w:p w14:paraId="195A223D" w14:textId="105F4884" w:rsidR="003E7E17" w:rsidRPr="00844E8A" w:rsidRDefault="003E7E17" w:rsidP="004F5D40">
            <w:pPr>
              <w:pStyle w:val="TableText"/>
              <w:jc w:val="center"/>
              <w:cnfStyle w:val="000000010000" w:firstRow="0" w:lastRow="0" w:firstColumn="0" w:lastColumn="0" w:oddVBand="0" w:evenVBand="0" w:oddHBand="0" w:evenHBand="1" w:firstRowFirstColumn="0" w:firstRowLastColumn="0" w:lastRowFirstColumn="0" w:lastRowLastColumn="0"/>
            </w:pPr>
            <w:r>
              <w:t>= 0</w:t>
            </w:r>
          </w:p>
        </w:tc>
        <w:tc>
          <w:tcPr>
            <w:tcW w:w="1100" w:type="dxa"/>
          </w:tcPr>
          <w:p w14:paraId="46B13AFA" w14:textId="33CE8536" w:rsidR="004F5D40" w:rsidRDefault="00632F71" w:rsidP="004F5D40">
            <w:pPr>
              <w:pStyle w:val="TableText"/>
              <w:jc w:val="center"/>
              <w:cnfStyle w:val="000000010000" w:firstRow="0" w:lastRow="0" w:firstColumn="0" w:lastColumn="0" w:oddVBand="0" w:evenVBand="0" w:oddHBand="0" w:evenHBand="1" w:firstRowFirstColumn="0" w:firstRowLastColumn="0" w:lastRowFirstColumn="0" w:lastRowLastColumn="0"/>
            </w:pPr>
            <w:r>
              <w:t>Min [</w:t>
            </w:r>
            <w:r w:rsidR="003E7E17">
              <w:t>0,</w:t>
            </w:r>
            <w:r w:rsidR="004F5D40" w:rsidRPr="00A45B40">
              <w:t>200</w:t>
            </w:r>
            <w:r w:rsidR="003E7E17">
              <w:t xml:space="preserve"> x 200/200]</w:t>
            </w:r>
          </w:p>
          <w:p w14:paraId="137FC35F" w14:textId="0BB7E726" w:rsidR="003E7E17" w:rsidRDefault="003E7E17" w:rsidP="004F5D40">
            <w:pPr>
              <w:pStyle w:val="TableText"/>
              <w:jc w:val="center"/>
              <w:cnfStyle w:val="000000010000" w:firstRow="0" w:lastRow="0" w:firstColumn="0" w:lastColumn="0" w:oddVBand="0" w:evenVBand="0" w:oddHBand="0" w:evenHBand="1" w:firstRowFirstColumn="0" w:firstRowLastColumn="0" w:lastRowFirstColumn="0" w:lastRowLastColumn="0"/>
            </w:pPr>
            <w:r>
              <w:t xml:space="preserve">= </w:t>
            </w:r>
            <w:r w:rsidR="00632F71">
              <w:t>Min [</w:t>
            </w:r>
            <w:r>
              <w:t>0, 200]</w:t>
            </w:r>
          </w:p>
          <w:p w14:paraId="31E0336F" w14:textId="32D33B47" w:rsidR="003E7E17" w:rsidRDefault="003E7E17" w:rsidP="004F5D40">
            <w:pPr>
              <w:pStyle w:val="TableText"/>
              <w:jc w:val="center"/>
              <w:cnfStyle w:val="000000010000" w:firstRow="0" w:lastRow="0" w:firstColumn="0" w:lastColumn="0" w:oddVBand="0" w:evenVBand="0" w:oddHBand="0" w:evenHBand="1" w:firstRowFirstColumn="0" w:firstRowLastColumn="0" w:lastRowFirstColumn="0" w:lastRowLastColumn="0"/>
            </w:pPr>
            <w:r>
              <w:t>= 200</w:t>
            </w:r>
          </w:p>
        </w:tc>
        <w:tc>
          <w:tcPr>
            <w:tcW w:w="1100" w:type="dxa"/>
          </w:tcPr>
          <w:p w14:paraId="0F2F0737" w14:textId="1111651F" w:rsidR="003E7E17" w:rsidRDefault="00632F71" w:rsidP="003E7E17">
            <w:pPr>
              <w:pStyle w:val="TableText"/>
              <w:jc w:val="center"/>
              <w:cnfStyle w:val="000000010000" w:firstRow="0" w:lastRow="0" w:firstColumn="0" w:lastColumn="0" w:oddVBand="0" w:evenVBand="0" w:oddHBand="0" w:evenHBand="1" w:firstRowFirstColumn="0" w:firstRowLastColumn="0" w:lastRowFirstColumn="0" w:lastRowLastColumn="0"/>
            </w:pPr>
            <w:r>
              <w:t>Min [</w:t>
            </w:r>
            <w:r w:rsidR="003E7E17">
              <w:t>0,</w:t>
            </w:r>
            <w:r w:rsidR="003E7E17" w:rsidRPr="00A45B40">
              <w:t>200</w:t>
            </w:r>
            <w:r w:rsidR="003E7E17">
              <w:t xml:space="preserve"> x 0/200]</w:t>
            </w:r>
          </w:p>
          <w:p w14:paraId="1A347C16" w14:textId="3551B885" w:rsidR="003E7E17" w:rsidRDefault="003E7E17" w:rsidP="003E7E17">
            <w:pPr>
              <w:pStyle w:val="TableText"/>
              <w:jc w:val="center"/>
              <w:cnfStyle w:val="000000010000" w:firstRow="0" w:lastRow="0" w:firstColumn="0" w:lastColumn="0" w:oddVBand="0" w:evenVBand="0" w:oddHBand="0" w:evenHBand="1" w:firstRowFirstColumn="0" w:firstRowLastColumn="0" w:lastRowFirstColumn="0" w:lastRowLastColumn="0"/>
            </w:pPr>
            <w:r>
              <w:t xml:space="preserve">= </w:t>
            </w:r>
            <w:r w:rsidR="00632F71">
              <w:t>Min [</w:t>
            </w:r>
            <w:r>
              <w:t>0, 0]</w:t>
            </w:r>
          </w:p>
          <w:p w14:paraId="012208C9" w14:textId="760F8AFE" w:rsidR="004F5D40" w:rsidRDefault="003E7E17" w:rsidP="003E7E17">
            <w:pPr>
              <w:pStyle w:val="TableText"/>
              <w:jc w:val="center"/>
              <w:cnfStyle w:val="000000010000" w:firstRow="0" w:lastRow="0" w:firstColumn="0" w:lastColumn="0" w:oddVBand="0" w:evenVBand="0" w:oddHBand="0" w:evenHBand="1" w:firstRowFirstColumn="0" w:firstRowLastColumn="0" w:lastRowFirstColumn="0" w:lastRowLastColumn="0"/>
            </w:pPr>
            <w:r>
              <w:t>= 0</w:t>
            </w:r>
          </w:p>
        </w:tc>
      </w:tr>
    </w:tbl>
    <w:p w14:paraId="644BE4EE" w14:textId="77777777" w:rsidR="00365602" w:rsidRDefault="00365602" w:rsidP="00365602">
      <w:pPr>
        <w:pStyle w:val="ListContinue3"/>
        <w:ind w:left="1843"/>
      </w:pPr>
    </w:p>
    <w:p w14:paraId="42460C85" w14:textId="55DEB345" w:rsidR="00365602" w:rsidRDefault="00365602" w:rsidP="00365602">
      <w:pPr>
        <w:pStyle w:val="Listi"/>
        <w:numPr>
          <w:ilvl w:val="2"/>
          <w:numId w:val="27"/>
        </w:numPr>
      </w:pPr>
      <w:r>
        <w:t xml:space="preserve">The final </w:t>
      </w:r>
      <w:r w:rsidRPr="005D1301">
        <w:rPr>
          <w:i/>
          <w:iCs/>
        </w:rPr>
        <w:t>DTS SP uplift quantity</w:t>
      </w:r>
      <w:r>
        <w:t xml:space="preserve"> used to determine </w:t>
      </w:r>
      <w:r w:rsidRPr="00365602">
        <w:rPr>
          <w:i/>
          <w:iCs/>
        </w:rPr>
        <w:t xml:space="preserve">DTS SP </w:t>
      </w:r>
      <w:r w:rsidR="005737EA">
        <w:rPr>
          <w:i/>
          <w:iCs/>
        </w:rPr>
        <w:t>uplift</w:t>
      </w:r>
      <w:r w:rsidRPr="00365602">
        <w:rPr>
          <w:i/>
          <w:iCs/>
        </w:rPr>
        <w:t xml:space="preserve"> payments</w:t>
      </w:r>
      <w:r>
        <w:t xml:space="preserve"> for an </w:t>
      </w:r>
      <w:r>
        <w:rPr>
          <w:i/>
          <w:iCs/>
        </w:rPr>
        <w:t>operating schedule</w:t>
      </w:r>
      <w:r>
        <w:t xml:space="preserve"> is </w:t>
      </w:r>
      <w:r w:rsidR="00CB7286">
        <w:t xml:space="preserve">the Final Distributed </w:t>
      </w:r>
      <w:r w:rsidR="00CB7286">
        <w:rPr>
          <w:i/>
          <w:iCs/>
        </w:rPr>
        <w:t xml:space="preserve">DTS SP uplift quantity </w:t>
      </w:r>
      <w:r>
        <w:t xml:space="preserve">limited by the positive </w:t>
      </w:r>
      <w:r w:rsidR="004664AA">
        <w:rPr>
          <w:i/>
          <w:iCs/>
        </w:rPr>
        <w:t>total uplift</w:t>
      </w:r>
      <w:r>
        <w:rPr>
          <w:i/>
          <w:iCs/>
        </w:rPr>
        <w:t xml:space="preserve"> payment quantity </w:t>
      </w:r>
      <w:r>
        <w:rPr>
          <w:i/>
          <w:iCs/>
        </w:rPr>
        <w:softHyphen/>
      </w:r>
      <w:r>
        <w:t xml:space="preserve">for the affected </w:t>
      </w:r>
      <w:r w:rsidR="00210E2C" w:rsidRPr="00210E2C">
        <w:rPr>
          <w:i/>
          <w:iCs/>
        </w:rPr>
        <w:t xml:space="preserve">operating </w:t>
      </w:r>
      <w:r w:rsidRPr="00210E2C">
        <w:rPr>
          <w:i/>
          <w:iCs/>
        </w:rPr>
        <w:t>schedule</w:t>
      </w:r>
      <w:r>
        <w:t>.</w:t>
      </w:r>
    </w:p>
    <w:p w14:paraId="796F20E6" w14:textId="26C5378E" w:rsidR="00365602" w:rsidRDefault="00365602" w:rsidP="00365602">
      <w:pPr>
        <w:pStyle w:val="ListContinue3"/>
        <w:ind w:left="1843"/>
      </w:pPr>
      <w:r>
        <w:t>Final Q</w:t>
      </w:r>
      <w:r w:rsidR="003F2787">
        <w:t>D</w:t>
      </w:r>
      <w:r w:rsidRPr="00365602">
        <w:rPr>
          <w:vertAlign w:val="subscript"/>
        </w:rPr>
        <w:t>s</w:t>
      </w:r>
      <w:r>
        <w:tab/>
      </w:r>
      <w:r>
        <w:tab/>
        <w:t>= M</w:t>
      </w:r>
      <w:r w:rsidR="00CB7286">
        <w:t>in</w:t>
      </w:r>
      <w:r>
        <w:t xml:space="preserve"> </w:t>
      </w:r>
      <w:r w:rsidR="00CB7286">
        <w:t>{FinalDist</w:t>
      </w:r>
      <w:r w:rsidR="00CB7286" w:rsidRPr="005111E6">
        <w:t xml:space="preserve"> </w:t>
      </w:r>
      <w:r w:rsidR="00CB7286">
        <w:t>Q</w:t>
      </w:r>
      <w:r w:rsidR="003F2787">
        <w:t>D</w:t>
      </w:r>
      <w:r w:rsidR="00CB7286">
        <w:rPr>
          <w:vertAlign w:val="subscript"/>
        </w:rPr>
        <w:t>s ,</w:t>
      </w:r>
      <w:r w:rsidR="00CB7286" w:rsidRPr="00CB7286">
        <w:t xml:space="preserve"> </w:t>
      </w:r>
      <w:r w:rsidR="00CB7286">
        <w:t>max[0,TU</w:t>
      </w:r>
      <w:r w:rsidR="0022529A">
        <w:t>Q</w:t>
      </w:r>
      <w:r w:rsidR="00CB7286">
        <w:rPr>
          <w:vertAlign w:val="subscript"/>
        </w:rPr>
        <w:t xml:space="preserve">s </w:t>
      </w:r>
      <w:r w:rsidR="00CB7286">
        <w:t>]}</w:t>
      </w:r>
    </w:p>
    <w:p w14:paraId="283C31F4" w14:textId="30CC38F1" w:rsidR="007B1F6B" w:rsidRPr="00D55E5B" w:rsidRDefault="00230EA2" w:rsidP="00230EA2">
      <w:pPr>
        <w:pStyle w:val="Heading2"/>
      </w:pPr>
      <w:bookmarkStart w:id="39" w:name="_Toc62480201"/>
      <w:r>
        <w:t>Determining the DTS SP Uplift amount</w:t>
      </w:r>
      <w:bookmarkEnd w:id="39"/>
    </w:p>
    <w:p w14:paraId="4B02596B" w14:textId="33EE7453" w:rsidR="00177028" w:rsidRPr="00033E75" w:rsidRDefault="00BA498F" w:rsidP="00667A88">
      <w:pPr>
        <w:pStyle w:val="ResetPara"/>
      </w:pPr>
      <w:r>
        <w:t>.</w:t>
      </w:r>
    </w:p>
    <w:p w14:paraId="70B68F7D" w14:textId="7177D390" w:rsidR="0021082B" w:rsidRPr="00373048" w:rsidRDefault="0021082B" w:rsidP="00CA0B13">
      <w:pPr>
        <w:pStyle w:val="Lista"/>
      </w:pPr>
      <w:r>
        <w:t xml:space="preserve">The </w:t>
      </w:r>
      <w:r w:rsidR="00E233FD">
        <w:rPr>
          <w:i/>
          <w:iCs/>
        </w:rPr>
        <w:t>DTS SP uplift payment amount</w:t>
      </w:r>
      <w:r w:rsidR="00E233FD">
        <w:t xml:space="preserve"> </w:t>
      </w:r>
      <w:r w:rsidR="004E188B">
        <w:t>must be</w:t>
      </w:r>
      <w:r w:rsidR="00E233FD">
        <w:t xml:space="preserve"> determined </w:t>
      </w:r>
      <w:r w:rsidR="00447964">
        <w:t xml:space="preserve">by AEMO </w:t>
      </w:r>
      <w:r w:rsidR="00520385">
        <w:t xml:space="preserve">for all </w:t>
      </w:r>
      <w:r w:rsidR="00520385">
        <w:rPr>
          <w:i/>
          <w:iCs/>
        </w:rPr>
        <w:t xml:space="preserve">operating schedules </w:t>
      </w:r>
      <w:r w:rsidR="00520385" w:rsidRPr="00F3539E">
        <w:t>for each</w:t>
      </w:r>
      <w:r w:rsidR="00520385">
        <w:rPr>
          <w:i/>
          <w:iCs/>
        </w:rPr>
        <w:t xml:space="preserve"> gas day.</w:t>
      </w:r>
    </w:p>
    <w:p w14:paraId="44822D10" w14:textId="7C6BAA46" w:rsidR="007134A9" w:rsidRDefault="00CB7286" w:rsidP="00CA0B13">
      <w:pPr>
        <w:pStyle w:val="Lista"/>
      </w:pPr>
      <w:r>
        <w:t>For the avoidance of doubt, where</w:t>
      </w:r>
      <w:r w:rsidR="007134A9">
        <w:t>:</w:t>
      </w:r>
    </w:p>
    <w:p w14:paraId="085C5858" w14:textId="72E3EF31" w:rsidR="007134A9" w:rsidRDefault="00D43CE5" w:rsidP="007134A9">
      <w:pPr>
        <w:pStyle w:val="Listi"/>
      </w:pPr>
      <w:r>
        <w:t xml:space="preserve">a </w:t>
      </w:r>
      <w:r w:rsidRPr="00A97496">
        <w:rPr>
          <w:i/>
          <w:iCs/>
        </w:rPr>
        <w:t>DTS SP uplift event</w:t>
      </w:r>
      <w:r>
        <w:t xml:space="preserve"> has not occurred</w:t>
      </w:r>
      <w:r w:rsidR="00063007">
        <w:t xml:space="preserve"> for an </w:t>
      </w:r>
      <w:r w:rsidR="00063007" w:rsidRPr="00063007">
        <w:rPr>
          <w:i/>
          <w:iCs/>
        </w:rPr>
        <w:t>operating schedule</w:t>
      </w:r>
      <w:r w:rsidR="00063007">
        <w:t>, or</w:t>
      </w:r>
    </w:p>
    <w:p w14:paraId="5AAE4B5F" w14:textId="77777777" w:rsidR="007134A9" w:rsidRDefault="008C78C4" w:rsidP="007134A9">
      <w:pPr>
        <w:pStyle w:val="Listi"/>
      </w:pPr>
      <w:r>
        <w:t xml:space="preserve">the </w:t>
      </w:r>
      <w:r w:rsidR="002F1A56" w:rsidRPr="00A97496">
        <w:rPr>
          <w:i/>
          <w:iCs/>
        </w:rPr>
        <w:t xml:space="preserve">Final </w:t>
      </w:r>
      <w:r w:rsidR="00C7531B" w:rsidRPr="00A97496">
        <w:rPr>
          <w:i/>
          <w:iCs/>
        </w:rPr>
        <w:t>DTS SP uplift quantity</w:t>
      </w:r>
      <w:r w:rsidR="00C7531B">
        <w:t xml:space="preserve"> for an </w:t>
      </w:r>
      <w:r w:rsidR="00C7531B" w:rsidRPr="00A97496">
        <w:rPr>
          <w:i/>
          <w:iCs/>
        </w:rPr>
        <w:t>operating schedule</w:t>
      </w:r>
      <w:r w:rsidR="00C7531B">
        <w:t xml:space="preserve"> </w:t>
      </w:r>
      <w:r w:rsidR="008B01BC">
        <w:t xml:space="preserve">is </w:t>
      </w:r>
      <w:r w:rsidR="008A6901">
        <w:t xml:space="preserve">less than or equal to </w:t>
      </w:r>
      <w:r w:rsidR="008B01BC">
        <w:t xml:space="preserve">zero, or </w:t>
      </w:r>
    </w:p>
    <w:p w14:paraId="269010DC" w14:textId="7597678D" w:rsidR="007134A9" w:rsidRDefault="008B01BC" w:rsidP="007134A9">
      <w:pPr>
        <w:pStyle w:val="Listi"/>
      </w:pPr>
      <w:r>
        <w:t xml:space="preserve">the </w:t>
      </w:r>
      <w:r w:rsidR="00B83C10" w:rsidRPr="00A97496">
        <w:rPr>
          <w:i/>
          <w:iCs/>
        </w:rPr>
        <w:t xml:space="preserve">total </w:t>
      </w:r>
      <w:r w:rsidR="00A44631">
        <w:rPr>
          <w:i/>
          <w:iCs/>
        </w:rPr>
        <w:t>uplift</w:t>
      </w:r>
      <w:r w:rsidR="00B83C10" w:rsidRPr="00A97496">
        <w:rPr>
          <w:i/>
          <w:iCs/>
        </w:rPr>
        <w:t xml:space="preserve"> payment amount</w:t>
      </w:r>
      <w:r w:rsidR="00B83C10" w:rsidRPr="00B83C10">
        <w:t xml:space="preserve"> </w:t>
      </w:r>
      <w:r>
        <w:t xml:space="preserve">for </w:t>
      </w:r>
      <w:r w:rsidR="00A97496">
        <w:t>an</w:t>
      </w:r>
      <w:r>
        <w:t xml:space="preserve"> </w:t>
      </w:r>
      <w:r w:rsidRPr="00A97496">
        <w:rPr>
          <w:i/>
          <w:iCs/>
        </w:rPr>
        <w:t xml:space="preserve">operating </w:t>
      </w:r>
      <w:r w:rsidR="00285C24" w:rsidRPr="00A97496">
        <w:rPr>
          <w:i/>
          <w:iCs/>
        </w:rPr>
        <w:t>schedule</w:t>
      </w:r>
      <w:r w:rsidR="00285C24">
        <w:t xml:space="preserve"> is zero</w:t>
      </w:r>
      <w:r w:rsidR="00DF1E86">
        <w:t xml:space="preserve"> or negative</w:t>
      </w:r>
    </w:p>
    <w:p w14:paraId="267032F3" w14:textId="31DAB9ED" w:rsidR="0087573A" w:rsidRDefault="00C36AC8" w:rsidP="007134A9">
      <w:pPr>
        <w:pStyle w:val="ListContinue3"/>
        <w:ind w:left="1276"/>
      </w:pPr>
      <w:r>
        <w:t xml:space="preserve">then </w:t>
      </w:r>
      <w:r w:rsidR="00FE0132">
        <w:t xml:space="preserve">the </w:t>
      </w:r>
      <w:r w:rsidR="00FE0132" w:rsidRPr="004E2217">
        <w:rPr>
          <w:i/>
          <w:iCs/>
        </w:rPr>
        <w:t xml:space="preserve">DTS SP Uplift </w:t>
      </w:r>
      <w:r w:rsidR="00E40C24" w:rsidRPr="004E2217">
        <w:rPr>
          <w:i/>
          <w:iCs/>
        </w:rPr>
        <w:t>payment</w:t>
      </w:r>
      <w:r w:rsidR="00FE0132">
        <w:t xml:space="preserve"> </w:t>
      </w:r>
      <w:r w:rsidR="002B62A8">
        <w:t xml:space="preserve">for the </w:t>
      </w:r>
      <w:r w:rsidR="002B62A8" w:rsidRPr="00A46419">
        <w:rPr>
          <w:i/>
          <w:iCs/>
        </w:rPr>
        <w:t>operating schedule</w:t>
      </w:r>
      <w:r w:rsidR="002B62A8">
        <w:t xml:space="preserve"> </w:t>
      </w:r>
      <w:r w:rsidR="004E188B">
        <w:t>must be</w:t>
      </w:r>
      <w:r w:rsidR="00C30819">
        <w:t xml:space="preserve"> zero.</w:t>
      </w:r>
    </w:p>
    <w:p w14:paraId="3B2690E0" w14:textId="6BC978E2" w:rsidR="002B16C4" w:rsidRDefault="002B16C4" w:rsidP="007134A9">
      <w:pPr>
        <w:pStyle w:val="ListContinue3"/>
        <w:ind w:left="1276"/>
      </w:pPr>
      <w:r>
        <w:lastRenderedPageBreak/>
        <w:t>DUP</w:t>
      </w:r>
      <w:r>
        <w:rPr>
          <w:vertAlign w:val="subscript"/>
        </w:rPr>
        <w:t>s</w:t>
      </w:r>
      <w:r>
        <w:tab/>
      </w:r>
      <w:r>
        <w:tab/>
        <w:t>= zero</w:t>
      </w:r>
    </w:p>
    <w:p w14:paraId="62C791B5" w14:textId="77777777" w:rsidR="00004490" w:rsidRDefault="00004490" w:rsidP="007134A9">
      <w:pPr>
        <w:pStyle w:val="ListContinue3"/>
        <w:ind w:left="1276"/>
      </w:pPr>
    </w:p>
    <w:p w14:paraId="75916272" w14:textId="54BA069A" w:rsidR="008D4420" w:rsidRDefault="00CB7286" w:rsidP="00CA0B13">
      <w:pPr>
        <w:pStyle w:val="Lista"/>
      </w:pPr>
      <w:r>
        <w:t xml:space="preserve">The </w:t>
      </w:r>
      <w:r>
        <w:rPr>
          <w:i/>
          <w:iCs/>
        </w:rPr>
        <w:t>DTS SP uplift amount</w:t>
      </w:r>
      <w:r>
        <w:t xml:space="preserve"> for an affected </w:t>
      </w:r>
      <w:r w:rsidRPr="00CB7286">
        <w:rPr>
          <w:i/>
          <w:iCs/>
        </w:rPr>
        <w:t>operating schedule</w:t>
      </w:r>
      <w:r>
        <w:t xml:space="preserve"> is the</w:t>
      </w:r>
      <w:r w:rsidR="00390C0B">
        <w:t xml:space="preserve"> </w:t>
      </w:r>
      <w:r w:rsidR="00EA21B4">
        <w:t xml:space="preserve">Final </w:t>
      </w:r>
      <w:r w:rsidR="00EA21B4" w:rsidRPr="00FE0132">
        <w:rPr>
          <w:i/>
          <w:iCs/>
        </w:rPr>
        <w:t>DTS SP uplift quantity</w:t>
      </w:r>
      <w:r w:rsidR="00CC0845">
        <w:t xml:space="preserve"> </w:t>
      </w:r>
      <w:r w:rsidR="002648ED">
        <w:t>multiplied by</w:t>
      </w:r>
      <w:r w:rsidR="00CC0845">
        <w:t xml:space="preserve"> the </w:t>
      </w:r>
      <w:r w:rsidR="00CC0845" w:rsidRPr="00CC0845">
        <w:rPr>
          <w:i/>
          <w:iCs/>
        </w:rPr>
        <w:t>positive ancillary payment rate</w:t>
      </w:r>
      <w:r w:rsidR="009D7003">
        <w:t>.</w:t>
      </w:r>
    </w:p>
    <w:p w14:paraId="530BD192" w14:textId="12B73D6C" w:rsidR="00CB7286" w:rsidRDefault="004650A9" w:rsidP="00CB7286">
      <w:pPr>
        <w:pStyle w:val="ListContinue3"/>
        <w:ind w:left="1276"/>
      </w:pPr>
      <w:r>
        <w:t>DUP</w:t>
      </w:r>
      <w:r>
        <w:rPr>
          <w:vertAlign w:val="subscript"/>
        </w:rPr>
        <w:t>s</w:t>
      </w:r>
      <w:r>
        <w:tab/>
      </w:r>
      <w:r>
        <w:tab/>
        <w:t xml:space="preserve">= </w:t>
      </w:r>
      <w:r w:rsidR="00CB7286">
        <w:t>Final</w:t>
      </w:r>
      <w:r>
        <w:t xml:space="preserve"> Q</w:t>
      </w:r>
      <w:r w:rsidR="003F2787">
        <w:t>D</w:t>
      </w:r>
      <w:r>
        <w:rPr>
          <w:vertAlign w:val="subscript"/>
        </w:rPr>
        <w:t>s</w:t>
      </w:r>
      <w:r>
        <w:t xml:space="preserve"> x PAVAPR</w:t>
      </w:r>
      <w:r>
        <w:rPr>
          <w:vertAlign w:val="subscript"/>
        </w:rPr>
        <w:t>s</w:t>
      </w:r>
    </w:p>
    <w:p w14:paraId="320941BF" w14:textId="2385194F" w:rsidR="004650A9" w:rsidRDefault="00CB7286" w:rsidP="00652182">
      <w:pPr>
        <w:pStyle w:val="ListContinue3"/>
        <w:ind w:left="1276"/>
      </w:pPr>
      <w:r>
        <w:t xml:space="preserve">Note that the </w:t>
      </w:r>
      <w:r w:rsidRPr="000A0042">
        <w:rPr>
          <w:i/>
        </w:rPr>
        <w:t>DTS SP uplift amount</w:t>
      </w:r>
      <w:r>
        <w:t xml:space="preserve"> will always be </w:t>
      </w:r>
      <w:r w:rsidR="00632F71">
        <w:t>positive and</w:t>
      </w:r>
      <w:r>
        <w:t xml:space="preserve"> is a payment by the DTS SP to </w:t>
      </w:r>
      <w:r w:rsidR="000A0042">
        <w:t>AEMO</w:t>
      </w:r>
      <w:r>
        <w:t>.</w:t>
      </w:r>
    </w:p>
    <w:p w14:paraId="4428B414" w14:textId="2836EBE5" w:rsidR="004E3E89" w:rsidRDefault="004A5DAE" w:rsidP="00B7461D">
      <w:pPr>
        <w:pStyle w:val="Lista"/>
      </w:pPr>
      <w:commentRangeStart w:id="40"/>
      <w:r>
        <w:t xml:space="preserve">For the avoidance of doubt, the total payment to be made by the </w:t>
      </w:r>
      <w:r w:rsidR="00B7461D">
        <w:t xml:space="preserve">DTS SP will be the sum of the </w:t>
      </w:r>
      <w:r w:rsidR="00B7461D" w:rsidRPr="00B7461D">
        <w:t>DTS SP uplift amount</w:t>
      </w:r>
      <w:r w:rsidR="00B144D9">
        <w:t xml:space="preserve"> (if any) to be</w:t>
      </w:r>
      <w:r w:rsidR="00B7461D">
        <w:t xml:space="preserve"> </w:t>
      </w:r>
      <w:r w:rsidR="001857E4">
        <w:t xml:space="preserve">paid by the DTS SP </w:t>
      </w:r>
      <w:r w:rsidR="00B7461D">
        <w:t xml:space="preserve">and the </w:t>
      </w:r>
      <w:r w:rsidR="00541771">
        <w:t xml:space="preserve">sum of </w:t>
      </w:r>
      <w:r w:rsidR="00B7461D" w:rsidRPr="00B7461D">
        <w:t>DTS SP event liability cap exceedance amount</w:t>
      </w:r>
      <w:r w:rsidR="00B7461D">
        <w:t xml:space="preserve"> </w:t>
      </w:r>
      <w:r w:rsidR="00541771">
        <w:t>(if any) plus</w:t>
      </w:r>
      <w:r w:rsidR="00B7461D">
        <w:t xml:space="preserve"> the </w:t>
      </w:r>
      <w:r w:rsidR="00B7461D" w:rsidRPr="00B7461D">
        <w:t xml:space="preserve">DTS SP </w:t>
      </w:r>
      <w:r w:rsidR="00B7461D">
        <w:t>annual</w:t>
      </w:r>
      <w:r w:rsidR="00B7461D" w:rsidRPr="00B7461D">
        <w:t xml:space="preserve"> liability cap exceedance amount</w:t>
      </w:r>
      <w:r w:rsidR="00541771">
        <w:t xml:space="preserve"> (if any) </w:t>
      </w:r>
      <w:r w:rsidR="00B144D9">
        <w:t xml:space="preserve">to be </w:t>
      </w:r>
      <w:r w:rsidR="00541771">
        <w:t>paid to the DTS SP</w:t>
      </w:r>
      <w:commentRangeEnd w:id="40"/>
      <w:r w:rsidR="00F21D76">
        <w:rPr>
          <w:rStyle w:val="CommentReference"/>
          <w:rFonts w:eastAsia="Calibri" w:cs="Times New Roman"/>
        </w:rPr>
        <w:commentReference w:id="40"/>
      </w:r>
      <w:r w:rsidR="00541771">
        <w:t>.</w:t>
      </w:r>
    </w:p>
    <w:p w14:paraId="15CFFBEF" w14:textId="24BA6F00" w:rsidR="001F41E2" w:rsidRDefault="00A866B9" w:rsidP="00D7654B">
      <w:pPr>
        <w:pStyle w:val="Heading1"/>
        <w:rPr>
          <w:rFonts w:eastAsia="Arial"/>
        </w:rPr>
      </w:pPr>
      <w:bookmarkStart w:id="41" w:name="_Ref56689050"/>
      <w:bookmarkStart w:id="42" w:name="_Toc62480202"/>
      <w:r>
        <w:t>D</w:t>
      </w:r>
      <w:r w:rsidR="00685659">
        <w:rPr>
          <w:rFonts w:eastAsia="Arial"/>
        </w:rPr>
        <w:t xml:space="preserve">TS SP </w:t>
      </w:r>
      <w:r w:rsidR="00685659" w:rsidRPr="00685659">
        <w:rPr>
          <w:rFonts w:eastAsia="Arial"/>
        </w:rPr>
        <w:t>event liability cap exceedance uplift</w:t>
      </w:r>
      <w:r w:rsidR="00397177">
        <w:rPr>
          <w:rFonts w:eastAsia="Arial"/>
        </w:rPr>
        <w:t xml:space="preserve"> category</w:t>
      </w:r>
      <w:bookmarkEnd w:id="41"/>
      <w:bookmarkEnd w:id="42"/>
    </w:p>
    <w:p w14:paraId="6779C6F7" w14:textId="77777777" w:rsidR="0071267E" w:rsidRDefault="0071267E" w:rsidP="0071267E">
      <w:pPr>
        <w:pStyle w:val="ResetPara"/>
      </w:pPr>
    </w:p>
    <w:p w14:paraId="5ADBA3C0" w14:textId="2A1DDFA8" w:rsidR="0071267E" w:rsidRDefault="0099570E" w:rsidP="0099570E">
      <w:pPr>
        <w:pStyle w:val="Heading2"/>
      </w:pPr>
      <w:bookmarkStart w:id="43" w:name="_Toc62480203"/>
      <w:r>
        <w:t>General</w:t>
      </w:r>
      <w:bookmarkEnd w:id="43"/>
    </w:p>
    <w:p w14:paraId="65E73BEF" w14:textId="77777777" w:rsidR="0099570E" w:rsidRDefault="0099570E" w:rsidP="0099570E">
      <w:pPr>
        <w:pStyle w:val="ResetPara"/>
      </w:pPr>
    </w:p>
    <w:p w14:paraId="695405ED" w14:textId="7F3BF8EA" w:rsidR="0099570E" w:rsidRDefault="002055C5" w:rsidP="0099570E">
      <w:pPr>
        <w:pStyle w:val="BodyText"/>
      </w:pPr>
      <w:r>
        <w:t xml:space="preserve">The </w:t>
      </w:r>
      <w:r w:rsidR="0099570E" w:rsidRPr="00B70471">
        <w:rPr>
          <w:i/>
          <w:iCs/>
        </w:rPr>
        <w:t xml:space="preserve">DTS SP </w:t>
      </w:r>
      <w:r w:rsidR="00B70471" w:rsidRPr="00B70471">
        <w:rPr>
          <w:i/>
          <w:iCs/>
        </w:rPr>
        <w:t xml:space="preserve">event liability cap exceedance uplift </w:t>
      </w:r>
      <w:r w:rsidR="0012035A">
        <w:t xml:space="preserve">is determined </w:t>
      </w:r>
      <w:r w:rsidR="00A253B2">
        <w:t>for a</w:t>
      </w:r>
      <w:r w:rsidR="000470AB">
        <w:t xml:space="preserve">n affected </w:t>
      </w:r>
      <w:r w:rsidR="000470AB">
        <w:rPr>
          <w:i/>
          <w:iCs/>
        </w:rPr>
        <w:t>operating schedule</w:t>
      </w:r>
      <w:r>
        <w:rPr>
          <w:i/>
          <w:iCs/>
        </w:rPr>
        <w:t xml:space="preserve"> </w:t>
      </w:r>
      <w:r w:rsidR="0012035A">
        <w:t xml:space="preserve">after the </w:t>
      </w:r>
      <w:r w:rsidR="0012035A" w:rsidRPr="0012035A">
        <w:rPr>
          <w:i/>
          <w:iCs/>
        </w:rPr>
        <w:t>DTS SP uplift amount</w:t>
      </w:r>
      <w:r w:rsidR="0012035A">
        <w:t xml:space="preserve"> </w:t>
      </w:r>
      <w:r w:rsidR="00F11AE0">
        <w:t xml:space="preserve">has been </w:t>
      </w:r>
      <w:r w:rsidR="00837851">
        <w:t>determined</w:t>
      </w:r>
      <w:r w:rsidR="002D5F26">
        <w:t xml:space="preserve"> in accordance with section</w:t>
      </w:r>
      <w:r w:rsidR="0027739D">
        <w:t xml:space="preserve"> </w:t>
      </w:r>
      <w:r w:rsidR="009E5AF0">
        <w:rPr>
          <w:color w:val="2B579A"/>
          <w:shd w:val="clear" w:color="auto" w:fill="E6E6E6"/>
        </w:rPr>
        <w:fldChar w:fldCharType="begin"/>
      </w:r>
      <w:r w:rsidR="009E5AF0">
        <w:instrText xml:space="preserve"> REF _Ref57988250 \n \h </w:instrText>
      </w:r>
      <w:r w:rsidR="009E5AF0">
        <w:rPr>
          <w:color w:val="2B579A"/>
          <w:shd w:val="clear" w:color="auto" w:fill="E6E6E6"/>
        </w:rPr>
      </w:r>
      <w:r w:rsidR="009E5AF0">
        <w:rPr>
          <w:color w:val="2B579A"/>
          <w:shd w:val="clear" w:color="auto" w:fill="E6E6E6"/>
        </w:rPr>
        <w:fldChar w:fldCharType="separate"/>
      </w:r>
      <w:r w:rsidR="00BA68AF">
        <w:t>4</w:t>
      </w:r>
      <w:r w:rsidR="009E5AF0">
        <w:rPr>
          <w:color w:val="2B579A"/>
          <w:shd w:val="clear" w:color="auto" w:fill="E6E6E6"/>
        </w:rPr>
        <w:fldChar w:fldCharType="end"/>
      </w:r>
      <w:r w:rsidR="0027739D">
        <w:t xml:space="preserve"> </w:t>
      </w:r>
      <w:r w:rsidR="002D5F26">
        <w:t>of this Procedure.</w:t>
      </w:r>
    </w:p>
    <w:p w14:paraId="431EE6DE" w14:textId="017A6FE6" w:rsidR="002D5F26" w:rsidRDefault="00596A2D" w:rsidP="002D5F26">
      <w:pPr>
        <w:pStyle w:val="Heading2"/>
      </w:pPr>
      <w:bookmarkStart w:id="44" w:name="_Toc62480204"/>
      <w:r>
        <w:t xml:space="preserve">Determining </w:t>
      </w:r>
      <w:bookmarkStart w:id="45" w:name="_Hlk56689954"/>
      <w:r>
        <w:t>DTS SP event liability cap exceedance amount</w:t>
      </w:r>
      <w:bookmarkEnd w:id="44"/>
      <w:bookmarkEnd w:id="45"/>
    </w:p>
    <w:p w14:paraId="3F64DFE2" w14:textId="77777777" w:rsidR="00596A2D" w:rsidRDefault="00596A2D" w:rsidP="00596A2D">
      <w:pPr>
        <w:pStyle w:val="ResetPara"/>
      </w:pPr>
    </w:p>
    <w:p w14:paraId="4D5BCEFD" w14:textId="5FB8073C" w:rsidR="00B402DD" w:rsidRDefault="00327C99" w:rsidP="00063938">
      <w:pPr>
        <w:pStyle w:val="BodyText"/>
      </w:pPr>
      <w:r>
        <w:t>T</w:t>
      </w:r>
      <w:r w:rsidR="00B402DD">
        <w:t xml:space="preserve">he </w:t>
      </w:r>
      <w:r w:rsidR="00B402DD" w:rsidRPr="0059539D">
        <w:rPr>
          <w:i/>
          <w:iCs/>
        </w:rPr>
        <w:t>DTS SP event liability cap exceedance uplift</w:t>
      </w:r>
      <w:r w:rsidR="00637953">
        <w:t xml:space="preserve"> for the </w:t>
      </w:r>
      <w:r w:rsidR="00082342">
        <w:t xml:space="preserve">affected </w:t>
      </w:r>
      <w:r w:rsidR="00082342" w:rsidRPr="0059539D">
        <w:rPr>
          <w:i/>
          <w:iCs/>
        </w:rPr>
        <w:t>operating schedule</w:t>
      </w:r>
      <w:r w:rsidR="00D453F8">
        <w:t xml:space="preserve"> s </w:t>
      </w:r>
      <w:r>
        <w:t xml:space="preserve">must be determined </w:t>
      </w:r>
      <w:r w:rsidR="00B402DD">
        <w:t>as the</w:t>
      </w:r>
      <w:r w:rsidR="00637953">
        <w:t xml:space="preserve"> Final </w:t>
      </w:r>
      <w:r w:rsidR="00637953" w:rsidRPr="0059539D">
        <w:rPr>
          <w:i/>
          <w:iCs/>
        </w:rPr>
        <w:t>DTS SP uplift quantities</w:t>
      </w:r>
      <w:r w:rsidR="00637953">
        <w:t xml:space="preserve"> multiplied by the minimum of zero and the difference between the </w:t>
      </w:r>
      <w:r w:rsidR="00637953" w:rsidRPr="0059539D">
        <w:rPr>
          <w:i/>
          <w:iCs/>
        </w:rPr>
        <w:t>event cap</w:t>
      </w:r>
      <w:r w:rsidR="00637953">
        <w:t xml:space="preserve"> and the </w:t>
      </w:r>
      <w:r w:rsidR="00D453F8" w:rsidRPr="0059539D">
        <w:rPr>
          <w:i/>
          <w:iCs/>
        </w:rPr>
        <w:t>positive ancillary payment rate</w:t>
      </w:r>
    </w:p>
    <w:p w14:paraId="6167CB8D" w14:textId="6EADC802" w:rsidR="00637953" w:rsidRDefault="00637953" w:rsidP="00063938">
      <w:pPr>
        <w:pStyle w:val="BodyText"/>
      </w:pPr>
      <w:r>
        <w:t>DELC</w:t>
      </w:r>
      <w:r w:rsidR="00A7131A">
        <w:rPr>
          <w:vertAlign w:val="subscript"/>
        </w:rPr>
        <w:t>s</w:t>
      </w:r>
      <w:r>
        <w:tab/>
      </w:r>
      <w:r>
        <w:tab/>
        <w:t>= Final QD</w:t>
      </w:r>
      <w:r w:rsidRPr="00365602">
        <w:rPr>
          <w:vertAlign w:val="subscript"/>
        </w:rPr>
        <w:t>s</w:t>
      </w:r>
      <w:r>
        <w:t xml:space="preserve"> x </w:t>
      </w:r>
      <w:r w:rsidR="00632F71">
        <w:t>Min [</w:t>
      </w:r>
      <w:r>
        <w:t xml:space="preserve">0, (event cap – </w:t>
      </w:r>
      <w:r w:rsidR="00143F3F">
        <w:t>PAVAPR</w:t>
      </w:r>
      <w:r w:rsidR="00143F3F">
        <w:rPr>
          <w:vertAlign w:val="subscript"/>
        </w:rPr>
        <w:t>s</w:t>
      </w:r>
      <w:r>
        <w:t>)]</w:t>
      </w:r>
    </w:p>
    <w:p w14:paraId="3F710C2F" w14:textId="5FF3F3D5" w:rsidR="00637953" w:rsidRDefault="00637953" w:rsidP="00063938">
      <w:pPr>
        <w:pStyle w:val="BodyText"/>
      </w:pPr>
      <w:r>
        <w:t xml:space="preserve">Note – where the event cap is not exceeded by the </w:t>
      </w:r>
      <w:r w:rsidR="00767353" w:rsidRPr="0059539D">
        <w:rPr>
          <w:i/>
          <w:iCs/>
        </w:rPr>
        <w:t>positive ancillary payment rate</w:t>
      </w:r>
      <w:r>
        <w:t xml:space="preserve">, this value will by zero. Where the event cap is exceeded by the </w:t>
      </w:r>
      <w:r w:rsidR="00137BF3" w:rsidRPr="0059539D">
        <w:rPr>
          <w:i/>
          <w:iCs/>
        </w:rPr>
        <w:t>positive ancillary payment rate</w:t>
      </w:r>
      <w:r>
        <w:t xml:space="preserve">, this value will be negative indicating a payment to the DTS SP. </w:t>
      </w:r>
    </w:p>
    <w:p w14:paraId="512463EA" w14:textId="32A5B623" w:rsidR="00C367EE" w:rsidRDefault="00C367EE" w:rsidP="00C367EE">
      <w:pPr>
        <w:pStyle w:val="Heading2"/>
      </w:pPr>
      <w:bookmarkStart w:id="46" w:name="_Toc62480205"/>
      <w:r>
        <w:t xml:space="preserve">Estimate the DTS SP event liability cap exceedance </w:t>
      </w:r>
      <w:r w:rsidR="00876D43">
        <w:t>quantity</w:t>
      </w:r>
      <w:bookmarkEnd w:id="46"/>
    </w:p>
    <w:p w14:paraId="1A491A15" w14:textId="77777777" w:rsidR="009B0AF9" w:rsidRPr="009B0AF9" w:rsidRDefault="009B0AF9" w:rsidP="009B0AF9">
      <w:pPr>
        <w:pStyle w:val="ResetPara"/>
      </w:pPr>
    </w:p>
    <w:p w14:paraId="7E8F07F4" w14:textId="2F3A2BB9" w:rsidR="001335D8" w:rsidRDefault="00327C99" w:rsidP="00CE50D7">
      <w:pPr>
        <w:pStyle w:val="BodyText"/>
      </w:pPr>
      <w:r>
        <w:t xml:space="preserve">The </w:t>
      </w:r>
      <w:r w:rsidR="00B214F8">
        <w:t xml:space="preserve">DTS SP event liability cap exceedance </w:t>
      </w:r>
      <w:r w:rsidR="00085BAA">
        <w:t xml:space="preserve">quantity for </w:t>
      </w:r>
      <w:r w:rsidR="00D40A3A">
        <w:t xml:space="preserve">the affected </w:t>
      </w:r>
      <w:r w:rsidR="00D40A3A" w:rsidRPr="0059539D">
        <w:rPr>
          <w:i/>
          <w:iCs/>
        </w:rPr>
        <w:t>operating schedule</w:t>
      </w:r>
      <w:r w:rsidR="00D40A3A">
        <w:t xml:space="preserve"> s </w:t>
      </w:r>
      <w:r>
        <w:t xml:space="preserve">must be estimated </w:t>
      </w:r>
      <w:r w:rsidR="00885B17">
        <w:t xml:space="preserve">as </w:t>
      </w:r>
      <w:r w:rsidR="00586778">
        <w:t xml:space="preserve">the </w:t>
      </w:r>
      <w:r w:rsidR="002B7F77" w:rsidRPr="000B6507">
        <w:rPr>
          <w:i/>
          <w:iCs/>
        </w:rPr>
        <w:t>DTS SP event liability cap exceedance uplift</w:t>
      </w:r>
      <w:r w:rsidR="002B7F77">
        <w:t xml:space="preserve"> </w:t>
      </w:r>
      <w:r w:rsidR="00B6687F" w:rsidRPr="000B6507">
        <w:rPr>
          <w:i/>
          <w:iCs/>
        </w:rPr>
        <w:t xml:space="preserve">amount </w:t>
      </w:r>
      <w:r w:rsidR="006B5128">
        <w:t xml:space="preserve">divided by the </w:t>
      </w:r>
      <w:r w:rsidR="00150143" w:rsidRPr="0059539D">
        <w:rPr>
          <w:i/>
          <w:iCs/>
        </w:rPr>
        <w:t>positive ancillary payment rate</w:t>
      </w:r>
      <w:r w:rsidR="007B0756">
        <w:t xml:space="preserve"> for the </w:t>
      </w:r>
      <w:r w:rsidR="007B0756" w:rsidRPr="000B6507">
        <w:rPr>
          <w:i/>
          <w:iCs/>
        </w:rPr>
        <w:t>gas day</w:t>
      </w:r>
      <w:r w:rsidR="007B0756">
        <w:t xml:space="preserve">. </w:t>
      </w:r>
    </w:p>
    <w:p w14:paraId="127AC01B" w14:textId="5EA07FE8" w:rsidR="00B214F8" w:rsidRPr="00637953" w:rsidRDefault="00586778" w:rsidP="00CE50D7">
      <w:pPr>
        <w:pStyle w:val="BodyText"/>
      </w:pPr>
      <w:r>
        <w:t>D</w:t>
      </w:r>
      <w:r w:rsidR="000C2905">
        <w:t>QELC</w:t>
      </w:r>
      <w:r w:rsidR="00CE50D7">
        <w:rPr>
          <w:vertAlign w:val="subscript"/>
        </w:rPr>
        <w:t>s</w:t>
      </w:r>
      <w:r>
        <w:tab/>
        <w:t xml:space="preserve">= </w:t>
      </w:r>
      <w:r w:rsidR="00BA68AF">
        <w:tab/>
      </w:r>
      <w:r w:rsidR="000C2905">
        <w:t>D_ELC</w:t>
      </w:r>
      <w:r w:rsidR="00CE50D7">
        <w:rPr>
          <w:vertAlign w:val="subscript"/>
        </w:rPr>
        <w:t>s</w:t>
      </w:r>
      <w:r>
        <w:t xml:space="preserve"> </w:t>
      </w:r>
      <w:r w:rsidR="00D40A3A">
        <w:t>/</w:t>
      </w:r>
      <w:r>
        <w:t xml:space="preserve"> PAVAPR</w:t>
      </w:r>
      <w:r w:rsidRPr="00CE50D7">
        <w:rPr>
          <w:vertAlign w:val="subscript"/>
        </w:rPr>
        <w:t>s</w:t>
      </w:r>
    </w:p>
    <w:p w14:paraId="78493190" w14:textId="3B60693C" w:rsidR="00685659" w:rsidRDefault="00AB618C" w:rsidP="00D7654B">
      <w:pPr>
        <w:pStyle w:val="Heading1"/>
        <w:rPr>
          <w:rFonts w:eastAsia="Arial"/>
        </w:rPr>
      </w:pPr>
      <w:bookmarkStart w:id="47" w:name="_Toc62480206"/>
      <w:r>
        <w:rPr>
          <w:lang w:eastAsia="en-AU"/>
        </w:rPr>
        <w:t>DTS SP annual liability cap exceedance uplift</w:t>
      </w:r>
      <w:r w:rsidR="00397177">
        <w:rPr>
          <w:lang w:eastAsia="en-AU"/>
        </w:rPr>
        <w:t xml:space="preserve"> </w:t>
      </w:r>
      <w:r w:rsidR="00397177">
        <w:rPr>
          <w:rFonts w:eastAsia="Arial"/>
        </w:rPr>
        <w:t>category</w:t>
      </w:r>
      <w:bookmarkEnd w:id="47"/>
    </w:p>
    <w:p w14:paraId="7CB1E88E" w14:textId="4305CC22" w:rsidR="00736A33" w:rsidRDefault="00736A33" w:rsidP="00736A33">
      <w:pPr>
        <w:pStyle w:val="ResetPara"/>
      </w:pPr>
    </w:p>
    <w:p w14:paraId="5075081F" w14:textId="25B89D4E" w:rsidR="00736A33" w:rsidRDefault="00736A33" w:rsidP="00736A33">
      <w:pPr>
        <w:pStyle w:val="Heading2"/>
      </w:pPr>
      <w:bookmarkStart w:id="48" w:name="_Toc62480207"/>
      <w:r>
        <w:t>General</w:t>
      </w:r>
      <w:bookmarkEnd w:id="48"/>
    </w:p>
    <w:p w14:paraId="36777401" w14:textId="7EBAF151" w:rsidR="00736A33" w:rsidRDefault="00736A33" w:rsidP="00736A33">
      <w:pPr>
        <w:pStyle w:val="ResetPara"/>
      </w:pPr>
    </w:p>
    <w:p w14:paraId="0C223BF7" w14:textId="7BA414C0" w:rsidR="00736A33" w:rsidRDefault="00736A33" w:rsidP="00D00E36">
      <w:pPr>
        <w:pStyle w:val="BodyText"/>
      </w:pPr>
      <w:r>
        <w:t xml:space="preserve">The </w:t>
      </w:r>
      <w:r w:rsidRPr="00566B4D">
        <w:rPr>
          <w:i/>
          <w:iCs/>
        </w:rPr>
        <w:t xml:space="preserve">DTS SP </w:t>
      </w:r>
      <w:r w:rsidR="00566B4D" w:rsidRPr="00566B4D">
        <w:rPr>
          <w:i/>
          <w:iCs/>
        </w:rPr>
        <w:t>annual</w:t>
      </w:r>
      <w:r w:rsidRPr="00566B4D">
        <w:rPr>
          <w:i/>
          <w:iCs/>
        </w:rPr>
        <w:t xml:space="preserve"> liability cap exceedance uplift </w:t>
      </w:r>
      <w:r w:rsidR="00327C99">
        <w:t>must</w:t>
      </w:r>
      <w:r w:rsidR="00876D43">
        <w:t xml:space="preserve"> be</w:t>
      </w:r>
      <w:r>
        <w:t xml:space="preserve"> determined for a</w:t>
      </w:r>
      <w:r w:rsidR="009F69DC">
        <w:t xml:space="preserve">n affected </w:t>
      </w:r>
      <w:r w:rsidR="009F69DC" w:rsidRPr="009F69DC">
        <w:rPr>
          <w:i/>
          <w:iCs/>
        </w:rPr>
        <w:t>scheduling</w:t>
      </w:r>
      <w:r w:rsidR="009F69DC">
        <w:t xml:space="preserve"> </w:t>
      </w:r>
      <w:r w:rsidRPr="00566B4D">
        <w:rPr>
          <w:i/>
          <w:iCs/>
        </w:rPr>
        <w:t>interval</w:t>
      </w:r>
      <w:r>
        <w:t xml:space="preserve"> after the </w:t>
      </w:r>
      <w:r w:rsidRPr="00566B4D">
        <w:rPr>
          <w:i/>
          <w:iCs/>
        </w:rPr>
        <w:t>DTS SP uplift amount</w:t>
      </w:r>
      <w:r>
        <w:t xml:space="preserve"> has been determined</w:t>
      </w:r>
      <w:r w:rsidR="006D24A2">
        <w:t xml:space="preserve"> for</w:t>
      </w:r>
      <w:r>
        <w:t xml:space="preserve"> </w:t>
      </w:r>
      <w:r w:rsidR="007D2212">
        <w:t xml:space="preserve">that </w:t>
      </w:r>
      <w:r w:rsidR="007D2212">
        <w:rPr>
          <w:i/>
          <w:iCs/>
        </w:rPr>
        <w:t xml:space="preserve">operating schedule </w:t>
      </w:r>
      <w:r>
        <w:t xml:space="preserve">in accordance with section </w:t>
      </w:r>
      <w:r w:rsidR="00D70AE8">
        <w:rPr>
          <w:color w:val="2B579A"/>
          <w:shd w:val="clear" w:color="auto" w:fill="E6E6E6"/>
        </w:rPr>
        <w:fldChar w:fldCharType="begin"/>
      </w:r>
      <w:r w:rsidR="00D70AE8">
        <w:instrText xml:space="preserve"> REF _Ref57988250 \n \h </w:instrText>
      </w:r>
      <w:r w:rsidR="00D70AE8">
        <w:rPr>
          <w:color w:val="2B579A"/>
          <w:shd w:val="clear" w:color="auto" w:fill="E6E6E6"/>
        </w:rPr>
      </w:r>
      <w:r w:rsidR="00D70AE8">
        <w:rPr>
          <w:color w:val="2B579A"/>
          <w:shd w:val="clear" w:color="auto" w:fill="E6E6E6"/>
        </w:rPr>
        <w:fldChar w:fldCharType="separate"/>
      </w:r>
      <w:r w:rsidR="00BA68AF">
        <w:t>4</w:t>
      </w:r>
      <w:r w:rsidR="00D70AE8">
        <w:rPr>
          <w:color w:val="2B579A"/>
          <w:shd w:val="clear" w:color="auto" w:fill="E6E6E6"/>
        </w:rPr>
        <w:fldChar w:fldCharType="end"/>
      </w:r>
      <w:r>
        <w:t xml:space="preserve"> of this </w:t>
      </w:r>
      <w:r w:rsidR="00B33476">
        <w:t>p</w:t>
      </w:r>
      <w:r>
        <w:t>rocedure</w:t>
      </w:r>
      <w:r w:rsidR="007E462D">
        <w:t xml:space="preserve">, and the </w:t>
      </w:r>
      <w:r w:rsidR="007E462D" w:rsidRPr="00566B4D">
        <w:rPr>
          <w:i/>
          <w:iCs/>
        </w:rPr>
        <w:t xml:space="preserve">DTS SP </w:t>
      </w:r>
      <w:r w:rsidR="00EC5F59">
        <w:rPr>
          <w:i/>
          <w:iCs/>
        </w:rPr>
        <w:t>event</w:t>
      </w:r>
      <w:r w:rsidR="007E462D" w:rsidRPr="00566B4D">
        <w:rPr>
          <w:i/>
          <w:iCs/>
        </w:rPr>
        <w:t xml:space="preserve"> liability cap exceedance uplift</w:t>
      </w:r>
      <w:r w:rsidR="00EC5F59">
        <w:t xml:space="preserve"> has been determined in accordance with section </w:t>
      </w:r>
      <w:r w:rsidR="00EC5F59">
        <w:rPr>
          <w:color w:val="2B579A"/>
          <w:shd w:val="clear" w:color="auto" w:fill="E6E6E6"/>
        </w:rPr>
        <w:fldChar w:fldCharType="begin"/>
      </w:r>
      <w:r w:rsidR="00EC5F59">
        <w:instrText xml:space="preserve"> REF _Ref56689050 \r \h </w:instrText>
      </w:r>
      <w:r w:rsidR="00EC5F59">
        <w:rPr>
          <w:color w:val="2B579A"/>
          <w:shd w:val="clear" w:color="auto" w:fill="E6E6E6"/>
        </w:rPr>
      </w:r>
      <w:r w:rsidR="00EC5F59">
        <w:rPr>
          <w:color w:val="2B579A"/>
          <w:shd w:val="clear" w:color="auto" w:fill="E6E6E6"/>
        </w:rPr>
        <w:fldChar w:fldCharType="separate"/>
      </w:r>
      <w:r w:rsidR="00BA68AF">
        <w:t>5</w:t>
      </w:r>
      <w:r w:rsidR="00EC5F59">
        <w:rPr>
          <w:color w:val="2B579A"/>
          <w:shd w:val="clear" w:color="auto" w:fill="E6E6E6"/>
        </w:rPr>
        <w:fldChar w:fldCharType="end"/>
      </w:r>
      <w:r w:rsidR="00EC5F59">
        <w:t xml:space="preserve"> </w:t>
      </w:r>
      <w:r w:rsidR="00B33476">
        <w:t>of this procedure.</w:t>
      </w:r>
    </w:p>
    <w:p w14:paraId="6E3C045E" w14:textId="71A95F34" w:rsidR="00B33476" w:rsidRDefault="000D4307" w:rsidP="00B33476">
      <w:pPr>
        <w:pStyle w:val="Heading2"/>
      </w:pPr>
      <w:bookmarkStart w:id="49" w:name="_Toc62480208"/>
      <w:r>
        <w:lastRenderedPageBreak/>
        <w:t>Determining DTS SP annual liability cap exceedance amount</w:t>
      </w:r>
      <w:bookmarkEnd w:id="49"/>
    </w:p>
    <w:p w14:paraId="09B62FAD" w14:textId="77777777" w:rsidR="009B0AF9" w:rsidRPr="009B0AF9" w:rsidRDefault="009B0AF9" w:rsidP="009B0AF9">
      <w:pPr>
        <w:pStyle w:val="ResetPara"/>
      </w:pPr>
    </w:p>
    <w:p w14:paraId="27DD3CC5" w14:textId="2B963A42" w:rsidR="00DC66E6" w:rsidRDefault="00DC66E6" w:rsidP="000D4307">
      <w:pPr>
        <w:pStyle w:val="Lista"/>
      </w:pPr>
      <w:r>
        <w:t xml:space="preserve">The </w:t>
      </w:r>
      <w:r w:rsidRPr="00F509D2">
        <w:rPr>
          <w:i/>
          <w:iCs/>
        </w:rPr>
        <w:t>annual cap</w:t>
      </w:r>
      <w:r>
        <w:t xml:space="preserve"> balance</w:t>
      </w:r>
      <w:r w:rsidR="003F7A5E">
        <w:t xml:space="preserve"> for</w:t>
      </w:r>
      <w:r w:rsidR="003B0536">
        <w:t xml:space="preserve"> a </w:t>
      </w:r>
      <w:r w:rsidR="003B0536" w:rsidRPr="003B0536">
        <w:rPr>
          <w:i/>
          <w:iCs/>
        </w:rPr>
        <w:t>DTS SP uplift event</w:t>
      </w:r>
      <w:r>
        <w:t xml:space="preserve"> is the </w:t>
      </w:r>
      <w:r w:rsidR="009617B8">
        <w:rPr>
          <w:i/>
          <w:iCs/>
        </w:rPr>
        <w:t xml:space="preserve">annual cap </w:t>
      </w:r>
      <w:r w:rsidR="003F7A5E">
        <w:t>amount</w:t>
      </w:r>
      <w:r w:rsidR="00AA3E6E">
        <w:t xml:space="preserve"> remaining </w:t>
      </w:r>
      <w:r w:rsidR="00F509D2">
        <w:t>in the</w:t>
      </w:r>
      <w:r w:rsidR="00962BE8">
        <w:t xml:space="preserve"> calendar year of the </w:t>
      </w:r>
      <w:r w:rsidR="00962BE8">
        <w:rPr>
          <w:i/>
          <w:iCs/>
        </w:rPr>
        <w:t>DTS SP uplift event</w:t>
      </w:r>
      <w:r w:rsidR="004672FF">
        <w:rPr>
          <w:i/>
          <w:iCs/>
        </w:rPr>
        <w:t xml:space="preserve"> </w:t>
      </w:r>
      <w:r w:rsidR="004672FF">
        <w:t xml:space="preserve">for the affected </w:t>
      </w:r>
      <w:r w:rsidR="004672FF" w:rsidRPr="004672FF">
        <w:rPr>
          <w:i/>
          <w:iCs/>
        </w:rPr>
        <w:t>operating schedule</w:t>
      </w:r>
      <w:r w:rsidR="004672FF">
        <w:t xml:space="preserve"> s</w:t>
      </w:r>
      <w:r w:rsidR="00962BE8">
        <w:rPr>
          <w:i/>
          <w:iCs/>
        </w:rPr>
        <w:t>.</w:t>
      </w:r>
      <w:r w:rsidR="003F7A5E">
        <w:t xml:space="preserve"> </w:t>
      </w:r>
    </w:p>
    <w:p w14:paraId="416C6701" w14:textId="74E5E6E8" w:rsidR="00C20061" w:rsidRDefault="00D47314" w:rsidP="000D4307">
      <w:pPr>
        <w:pStyle w:val="Lista"/>
      </w:pPr>
      <w:r>
        <w:t>T</w:t>
      </w:r>
      <w:r w:rsidR="005A3222">
        <w:t xml:space="preserve">he </w:t>
      </w:r>
      <w:r w:rsidR="0023566E">
        <w:t xml:space="preserve">total payments </w:t>
      </w:r>
      <w:r w:rsidR="000A3492">
        <w:t>subject to the</w:t>
      </w:r>
      <w:r w:rsidR="000A3492" w:rsidRPr="000A3492">
        <w:rPr>
          <w:i/>
          <w:iCs/>
        </w:rPr>
        <w:t xml:space="preserve"> annual cap </w:t>
      </w:r>
      <w:r w:rsidR="0023566E">
        <w:t xml:space="preserve">for </w:t>
      </w:r>
      <w:r w:rsidR="00A8684F">
        <w:t xml:space="preserve">prior </w:t>
      </w:r>
      <w:r w:rsidR="00A8684F" w:rsidRPr="00A8684F">
        <w:rPr>
          <w:i/>
          <w:iCs/>
        </w:rPr>
        <w:t>operating schedules</w:t>
      </w:r>
      <w:r w:rsidR="00A8684F">
        <w:t xml:space="preserve"> for the </w:t>
      </w:r>
      <w:r w:rsidR="007C073D">
        <w:t xml:space="preserve">affected </w:t>
      </w:r>
      <w:r w:rsidR="007C073D" w:rsidRPr="0080736D">
        <w:rPr>
          <w:i/>
          <w:iCs/>
        </w:rPr>
        <w:t>gas day</w:t>
      </w:r>
      <w:r w:rsidR="007C073D">
        <w:t xml:space="preserve">’s </w:t>
      </w:r>
      <w:r w:rsidR="00A8684F">
        <w:t>calendar year</w:t>
      </w:r>
      <w:r w:rsidR="0009272D">
        <w:t xml:space="preserve"> </w:t>
      </w:r>
      <w:r>
        <w:t xml:space="preserve">must be determined </w:t>
      </w:r>
      <w:r w:rsidR="0009272D">
        <w:t xml:space="preserve">as the sum of </w:t>
      </w:r>
      <w:r w:rsidR="00C745D4">
        <w:rPr>
          <w:i/>
          <w:iCs/>
        </w:rPr>
        <w:t xml:space="preserve">DTS SP uplift amounts, </w:t>
      </w:r>
      <w:r w:rsidR="00C745D4" w:rsidRPr="00B429BD">
        <w:rPr>
          <w:i/>
          <w:iCs/>
        </w:rPr>
        <w:t>DTS SP event liability cap exceedance amounts</w:t>
      </w:r>
      <w:r w:rsidR="00C745D4">
        <w:t xml:space="preserve"> and </w:t>
      </w:r>
      <w:r w:rsidR="00C745D4" w:rsidRPr="00B429BD">
        <w:rPr>
          <w:i/>
          <w:iCs/>
        </w:rPr>
        <w:t xml:space="preserve">DTS SP </w:t>
      </w:r>
      <w:r w:rsidR="00C745D4">
        <w:rPr>
          <w:i/>
          <w:iCs/>
        </w:rPr>
        <w:t>annual</w:t>
      </w:r>
      <w:r w:rsidR="00C745D4" w:rsidRPr="00B429BD">
        <w:rPr>
          <w:i/>
          <w:iCs/>
        </w:rPr>
        <w:t xml:space="preserve"> liability cap exceedance amounts</w:t>
      </w:r>
      <w:r w:rsidR="0080736D">
        <w:t>.</w:t>
      </w:r>
    </w:p>
    <w:p w14:paraId="1DE76E65" w14:textId="21CF3A0D" w:rsidR="00D933E4" w:rsidRDefault="008923CC" w:rsidP="00A20631">
      <w:pPr>
        <w:pStyle w:val="ListContinue3"/>
        <w:ind w:left="1276"/>
      </w:pPr>
      <w:r>
        <w:t>Prior ALC</w:t>
      </w:r>
      <w:r>
        <w:tab/>
      </w:r>
      <w:r w:rsidR="000B228A">
        <w:t>amt</w:t>
      </w:r>
      <w:r w:rsidR="000B228A">
        <w:tab/>
      </w:r>
      <w:r>
        <w:t xml:space="preserve">= </w:t>
      </w:r>
      <w:r w:rsidR="00E6519B">
        <w:rPr>
          <w:rFonts w:ascii="Symbol" w:eastAsia="Symbol" w:hAnsi="Symbol" w:cs="Symbol"/>
        </w:rPr>
        <w:t>S</w:t>
      </w:r>
      <w:r w:rsidR="00E6519B">
        <w:rPr>
          <w:vertAlign w:val="subscript"/>
        </w:rPr>
        <w:t>current year</w:t>
      </w:r>
      <w:r w:rsidR="00D102BE">
        <w:rPr>
          <w:vertAlign w:val="subscript"/>
        </w:rPr>
        <w:t xml:space="preserve"> prior schedules</w:t>
      </w:r>
      <w:r w:rsidR="00AD3D1A">
        <w:rPr>
          <w:vertAlign w:val="subscript"/>
        </w:rPr>
        <w:t xml:space="preserve"> </w:t>
      </w:r>
      <w:r w:rsidR="00AD3D1A">
        <w:t>(</w:t>
      </w:r>
      <w:r w:rsidR="00C17754">
        <w:t>D_UP</w:t>
      </w:r>
      <w:r w:rsidR="00C17754">
        <w:rPr>
          <w:vertAlign w:val="subscript"/>
        </w:rPr>
        <w:t>s</w:t>
      </w:r>
      <w:r w:rsidR="00C17754">
        <w:t xml:space="preserve"> </w:t>
      </w:r>
      <w:r w:rsidR="002E001B">
        <w:t>+ D_ELC</w:t>
      </w:r>
      <w:r w:rsidR="002E001B">
        <w:rPr>
          <w:vertAlign w:val="subscript"/>
        </w:rPr>
        <w:t>s</w:t>
      </w:r>
      <w:r w:rsidR="00891FF7">
        <w:rPr>
          <w:vertAlign w:val="subscript"/>
        </w:rPr>
        <w:t xml:space="preserve"> </w:t>
      </w:r>
      <w:r w:rsidR="00891FF7" w:rsidRPr="00891FF7">
        <w:t>+ D_</w:t>
      </w:r>
      <w:r w:rsidR="00A9709A">
        <w:t>ALC</w:t>
      </w:r>
      <w:r w:rsidR="0054743C">
        <w:rPr>
          <w:vertAlign w:val="subscript"/>
        </w:rPr>
        <w:t>s</w:t>
      </w:r>
      <w:r w:rsidR="002E001B">
        <w:t>)</w:t>
      </w:r>
    </w:p>
    <w:p w14:paraId="709B9F43" w14:textId="77777777" w:rsidR="002E13D8" w:rsidRDefault="002E13D8" w:rsidP="00A20631">
      <w:pPr>
        <w:pStyle w:val="ListContinue3"/>
        <w:ind w:left="1276"/>
      </w:pPr>
    </w:p>
    <w:p w14:paraId="7853D9CF" w14:textId="348F1815" w:rsidR="00D37AFD" w:rsidRDefault="00D37AFD" w:rsidP="00A20631">
      <w:pPr>
        <w:pStyle w:val="ListContinue3"/>
        <w:ind w:left="1276"/>
      </w:pPr>
      <w:r>
        <w:t xml:space="preserve">Note D_ELC and D_ALC are </w:t>
      </w:r>
      <w:r w:rsidR="0055355C">
        <w:t xml:space="preserve">zero or </w:t>
      </w:r>
      <w:r>
        <w:t>negative</w:t>
      </w:r>
    </w:p>
    <w:p w14:paraId="64948A12" w14:textId="583D87B1" w:rsidR="001D2287" w:rsidRDefault="00D47314" w:rsidP="001D2287">
      <w:pPr>
        <w:pStyle w:val="Lista"/>
      </w:pPr>
      <w:r>
        <w:t>T</w:t>
      </w:r>
      <w:r w:rsidR="001D2287">
        <w:t>he total payments subject to the</w:t>
      </w:r>
      <w:r w:rsidR="001D2287" w:rsidRPr="000A3492">
        <w:rPr>
          <w:i/>
          <w:iCs/>
        </w:rPr>
        <w:t xml:space="preserve"> annual cap </w:t>
      </w:r>
      <w:r w:rsidR="001D2287">
        <w:t xml:space="preserve">for the current </w:t>
      </w:r>
      <w:r w:rsidR="001D2287" w:rsidRPr="00A8684F">
        <w:rPr>
          <w:i/>
          <w:iCs/>
        </w:rPr>
        <w:t>operating schedule</w:t>
      </w:r>
      <w:r w:rsidR="001D2287">
        <w:t xml:space="preserve"> s</w:t>
      </w:r>
      <w:r w:rsidR="00EF2A6F">
        <w:t xml:space="preserve"> </w:t>
      </w:r>
      <w:r>
        <w:t xml:space="preserve">must be determined </w:t>
      </w:r>
      <w:r w:rsidR="001D2287">
        <w:t xml:space="preserve">as the sum of </w:t>
      </w:r>
      <w:r w:rsidR="001D2287">
        <w:rPr>
          <w:i/>
          <w:iCs/>
        </w:rPr>
        <w:t xml:space="preserve">DTS SP uplift amounts </w:t>
      </w:r>
      <w:r w:rsidR="001D2287">
        <w:t>and</w:t>
      </w:r>
      <w:r w:rsidR="001D2287">
        <w:rPr>
          <w:i/>
          <w:iCs/>
        </w:rPr>
        <w:t xml:space="preserve"> </w:t>
      </w:r>
      <w:r w:rsidR="001D2287" w:rsidRPr="00B429BD">
        <w:rPr>
          <w:i/>
          <w:iCs/>
        </w:rPr>
        <w:t>DTS SP event liability cap exceedance amount</w:t>
      </w:r>
      <w:r w:rsidR="001D2287">
        <w:rPr>
          <w:i/>
          <w:iCs/>
        </w:rPr>
        <w:t>s.</w:t>
      </w:r>
    </w:p>
    <w:p w14:paraId="097FB1CB" w14:textId="4050CC13" w:rsidR="00FA68BD" w:rsidRDefault="001D2287" w:rsidP="00B1277C">
      <w:pPr>
        <w:pStyle w:val="ListContinue3"/>
        <w:ind w:left="1276"/>
      </w:pPr>
      <w:r>
        <w:t>Current ALC</w:t>
      </w:r>
      <w:r w:rsidR="000B228A">
        <w:t xml:space="preserve"> amt</w:t>
      </w:r>
      <w:r w:rsidR="00CC3E31">
        <w:rPr>
          <w:vertAlign w:val="subscript"/>
        </w:rPr>
        <w:t>s</w:t>
      </w:r>
      <w:r>
        <w:tab/>
        <w:t>= (D_UP</w:t>
      </w:r>
      <w:r>
        <w:rPr>
          <w:vertAlign w:val="subscript"/>
        </w:rPr>
        <w:t>s</w:t>
      </w:r>
      <w:r>
        <w:t xml:space="preserve"> + D_ELC</w:t>
      </w:r>
      <w:r>
        <w:rPr>
          <w:vertAlign w:val="subscript"/>
        </w:rPr>
        <w:t>s</w:t>
      </w:r>
      <w:r>
        <w:t>)</w:t>
      </w:r>
    </w:p>
    <w:p w14:paraId="2F944A40" w14:textId="77777777" w:rsidR="002E13D8" w:rsidRDefault="002E13D8" w:rsidP="002E13D8">
      <w:pPr>
        <w:pStyle w:val="ListContinue3"/>
        <w:ind w:left="1276"/>
      </w:pPr>
    </w:p>
    <w:p w14:paraId="28189A3E" w14:textId="7A1FC34D" w:rsidR="002E13D8" w:rsidRDefault="002E13D8" w:rsidP="002E13D8">
      <w:pPr>
        <w:pStyle w:val="ListContinue3"/>
        <w:ind w:left="1276"/>
      </w:pPr>
      <w:r>
        <w:t>Note D_ELC is zero or negative</w:t>
      </w:r>
    </w:p>
    <w:p w14:paraId="76B1D615" w14:textId="77777777" w:rsidR="002E13D8" w:rsidRDefault="002E13D8" w:rsidP="00B1277C">
      <w:pPr>
        <w:pStyle w:val="ListContinue3"/>
        <w:ind w:left="1276"/>
      </w:pPr>
    </w:p>
    <w:p w14:paraId="2BB3523F" w14:textId="5D9AAC37" w:rsidR="00370169" w:rsidRDefault="00D47314" w:rsidP="000D4307">
      <w:pPr>
        <w:pStyle w:val="Lista"/>
      </w:pPr>
      <w:r>
        <w:t>T</w:t>
      </w:r>
      <w:r w:rsidR="00B1277C">
        <w:t>he</w:t>
      </w:r>
      <w:r w:rsidR="0080736D">
        <w:t xml:space="preserve"> </w:t>
      </w:r>
      <w:r w:rsidR="000F1D2A" w:rsidRPr="000F1D2A">
        <w:rPr>
          <w:i/>
          <w:iCs/>
        </w:rPr>
        <w:t>DTS SP annual liability cap exceedance uplift amount</w:t>
      </w:r>
      <w:r w:rsidR="000F1D2A">
        <w:t xml:space="preserve"> </w:t>
      </w:r>
      <w:r w:rsidR="003569E9">
        <w:t>for th</w:t>
      </w:r>
      <w:r w:rsidR="002C1DE8">
        <w:t>e</w:t>
      </w:r>
      <w:r w:rsidR="003569E9">
        <w:t xml:space="preserve"> </w:t>
      </w:r>
      <w:r w:rsidR="0065016C">
        <w:t xml:space="preserve">affected </w:t>
      </w:r>
      <w:r w:rsidR="002D303B">
        <w:rPr>
          <w:i/>
          <w:iCs/>
        </w:rPr>
        <w:t xml:space="preserve">operating schedule </w:t>
      </w:r>
      <w:r w:rsidR="002D303B" w:rsidRPr="002D303B">
        <w:t>s</w:t>
      </w:r>
      <w:r w:rsidR="009B4BBE">
        <w:t xml:space="preserve"> </w:t>
      </w:r>
      <w:r>
        <w:t xml:space="preserve">must be determined </w:t>
      </w:r>
      <w:r w:rsidR="001A1057">
        <w:t xml:space="preserve">as </w:t>
      </w:r>
      <w:r w:rsidR="008E4807">
        <w:t>the</w:t>
      </w:r>
      <w:r w:rsidR="00CD543B">
        <w:t xml:space="preserve"> </w:t>
      </w:r>
      <w:r w:rsidR="003D0EBF">
        <w:t>minimum</w:t>
      </w:r>
      <w:r w:rsidR="00CD543B">
        <w:t xml:space="preserve"> of zero and </w:t>
      </w:r>
      <w:r w:rsidR="00E45F86">
        <w:t>the sum of</w:t>
      </w:r>
      <w:r w:rsidR="008E4807">
        <w:t xml:space="preserve"> </w:t>
      </w:r>
      <w:r w:rsidR="00E115DF">
        <w:rPr>
          <w:i/>
          <w:iCs/>
        </w:rPr>
        <w:t xml:space="preserve">annual cap </w:t>
      </w:r>
      <w:r w:rsidR="00E115DF" w:rsidRPr="00E115DF">
        <w:t>less</w:t>
      </w:r>
      <w:r w:rsidR="00E115DF">
        <w:rPr>
          <w:i/>
          <w:iCs/>
        </w:rPr>
        <w:t xml:space="preserve"> </w:t>
      </w:r>
      <w:r w:rsidR="00E115DF">
        <w:t xml:space="preserve">the </w:t>
      </w:r>
      <w:r w:rsidR="00600DDE">
        <w:t xml:space="preserve">prior annual </w:t>
      </w:r>
      <w:r>
        <w:t>liability</w:t>
      </w:r>
      <w:r w:rsidR="00600DDE">
        <w:t xml:space="preserve"> cap amount </w:t>
      </w:r>
      <w:r w:rsidR="00E115DF">
        <w:t xml:space="preserve">less </w:t>
      </w:r>
      <w:r w:rsidR="00600DDE">
        <w:t>the current annual liability cap</w:t>
      </w:r>
      <w:r w:rsidR="00E115DF">
        <w:t xml:space="preserve"> for the affected </w:t>
      </w:r>
      <w:r w:rsidR="00E115DF">
        <w:rPr>
          <w:i/>
          <w:iCs/>
        </w:rPr>
        <w:t xml:space="preserve">operating schedule </w:t>
      </w:r>
      <w:r w:rsidR="00370169">
        <w:t>s.</w:t>
      </w:r>
    </w:p>
    <w:p w14:paraId="41FF1E87" w14:textId="678239F5" w:rsidR="00173D54" w:rsidRPr="00E45F86" w:rsidRDefault="002C1DE8" w:rsidP="00370169">
      <w:pPr>
        <w:pStyle w:val="ListContinue3"/>
        <w:ind w:left="1276"/>
      </w:pPr>
      <w:r>
        <w:t>D_ALC</w:t>
      </w:r>
      <w:r w:rsidR="00396E4B">
        <w:rPr>
          <w:vertAlign w:val="subscript"/>
        </w:rPr>
        <w:t>s</w:t>
      </w:r>
      <w:r w:rsidR="00F63EE3">
        <w:tab/>
        <w:t xml:space="preserve">= </w:t>
      </w:r>
      <w:r w:rsidR="00BA68AF">
        <w:t>Min [</w:t>
      </w:r>
      <w:r w:rsidR="00E45F86">
        <w:t xml:space="preserve">0, </w:t>
      </w:r>
      <w:r w:rsidR="00F63EE3">
        <w:t xml:space="preserve">Annual cap </w:t>
      </w:r>
      <w:r w:rsidR="00396E4B">
        <w:t>–</w:t>
      </w:r>
      <w:r w:rsidR="00F63EE3">
        <w:t xml:space="preserve"> </w:t>
      </w:r>
      <w:r w:rsidR="00396E4B">
        <w:t>Prior ALC amt – Current ALC amt</w:t>
      </w:r>
      <w:r w:rsidR="00396E4B">
        <w:rPr>
          <w:vertAlign w:val="subscript"/>
        </w:rPr>
        <w:t>s</w:t>
      </w:r>
      <w:r w:rsidR="00E45F86">
        <w:t>]</w:t>
      </w:r>
    </w:p>
    <w:p w14:paraId="6BAAF8E9" w14:textId="77777777" w:rsidR="00C75415" w:rsidRDefault="00C75415" w:rsidP="00332A1F">
      <w:pPr>
        <w:pStyle w:val="ListContinue3"/>
        <w:ind w:left="1276"/>
      </w:pPr>
    </w:p>
    <w:p w14:paraId="4E3C021D" w14:textId="2B661C6E" w:rsidR="00332A1F" w:rsidRDefault="00332A1F" w:rsidP="00332A1F">
      <w:pPr>
        <w:pStyle w:val="ListContinue3"/>
        <w:ind w:left="1276"/>
      </w:pPr>
      <w:r>
        <w:t>Note D_</w:t>
      </w:r>
      <w:r w:rsidR="00BA68AF">
        <w:t>ALC is</w:t>
      </w:r>
      <w:r>
        <w:t xml:space="preserve"> zero or negative</w:t>
      </w:r>
      <w:r w:rsidR="00C75415">
        <w:t xml:space="preserve">, indicating a payment to the </w:t>
      </w:r>
      <w:r w:rsidR="00C75415">
        <w:rPr>
          <w:i/>
          <w:iCs/>
        </w:rPr>
        <w:t>DTS SP.</w:t>
      </w:r>
    </w:p>
    <w:p w14:paraId="37D3B24D" w14:textId="5C2E9801" w:rsidR="00311D43" w:rsidRDefault="00311D43" w:rsidP="00311D43">
      <w:pPr>
        <w:pStyle w:val="Heading2"/>
      </w:pPr>
      <w:bookmarkStart w:id="50" w:name="_Toc62480209"/>
      <w:r>
        <w:t xml:space="preserve">Estimate the DTS SP annual liability cap exceedance </w:t>
      </w:r>
      <w:r w:rsidR="00D47314">
        <w:t>quantity</w:t>
      </w:r>
      <w:bookmarkEnd w:id="50"/>
    </w:p>
    <w:p w14:paraId="028A35A9" w14:textId="77777777" w:rsidR="009B0AF9" w:rsidRPr="009B0AF9" w:rsidRDefault="009B0AF9" w:rsidP="009B0AF9">
      <w:pPr>
        <w:pStyle w:val="ResetPara"/>
      </w:pPr>
    </w:p>
    <w:p w14:paraId="4F6BF8C2" w14:textId="3CBF0376" w:rsidR="00311D43" w:rsidRDefault="00453798" w:rsidP="00311D43">
      <w:pPr>
        <w:pStyle w:val="BodyText"/>
      </w:pPr>
      <w:r>
        <w:t>T</w:t>
      </w:r>
      <w:r w:rsidR="00311D43">
        <w:t xml:space="preserve">he </w:t>
      </w:r>
      <w:r w:rsidR="00311D43" w:rsidRPr="004B4871">
        <w:rPr>
          <w:i/>
          <w:iCs/>
        </w:rPr>
        <w:t xml:space="preserve">DTS SP </w:t>
      </w:r>
      <w:r w:rsidR="004B4871" w:rsidRPr="004B4871">
        <w:rPr>
          <w:i/>
          <w:iCs/>
        </w:rPr>
        <w:t>annual</w:t>
      </w:r>
      <w:r w:rsidR="00311D43" w:rsidRPr="004B4871">
        <w:rPr>
          <w:i/>
          <w:iCs/>
        </w:rPr>
        <w:t xml:space="preserve"> liability cap exceedance quantity </w:t>
      </w:r>
      <w:r w:rsidR="00311D43">
        <w:t xml:space="preserve">for the affected </w:t>
      </w:r>
      <w:r w:rsidR="00311D43" w:rsidRPr="0059539D">
        <w:rPr>
          <w:i/>
          <w:iCs/>
        </w:rPr>
        <w:t>operating schedule</w:t>
      </w:r>
      <w:r w:rsidR="00311D43">
        <w:t xml:space="preserve"> s </w:t>
      </w:r>
      <w:r>
        <w:t xml:space="preserve">must be estimated </w:t>
      </w:r>
      <w:r w:rsidR="00311D43">
        <w:t xml:space="preserve">as the </w:t>
      </w:r>
      <w:r w:rsidR="00311D43" w:rsidRPr="000B6507">
        <w:rPr>
          <w:i/>
          <w:iCs/>
        </w:rPr>
        <w:t xml:space="preserve">DTS SP </w:t>
      </w:r>
      <w:r w:rsidR="004B4871">
        <w:rPr>
          <w:i/>
          <w:iCs/>
        </w:rPr>
        <w:t>annual</w:t>
      </w:r>
      <w:r w:rsidR="00311D43" w:rsidRPr="000B6507">
        <w:rPr>
          <w:i/>
          <w:iCs/>
        </w:rPr>
        <w:t xml:space="preserve"> liability cap exceedance uplift</w:t>
      </w:r>
      <w:r w:rsidR="00311D43">
        <w:t xml:space="preserve"> </w:t>
      </w:r>
      <w:r w:rsidR="00311D43" w:rsidRPr="000B6507">
        <w:rPr>
          <w:i/>
          <w:iCs/>
        </w:rPr>
        <w:t xml:space="preserve">amount </w:t>
      </w:r>
      <w:r w:rsidR="00311D43">
        <w:t xml:space="preserve">divided by the </w:t>
      </w:r>
      <w:r w:rsidR="00311D43" w:rsidRPr="0059539D">
        <w:rPr>
          <w:i/>
          <w:iCs/>
        </w:rPr>
        <w:t>positive ancillary payment rate</w:t>
      </w:r>
      <w:r w:rsidR="00311D43">
        <w:t xml:space="preserve"> for the </w:t>
      </w:r>
      <w:r w:rsidR="00311D43" w:rsidRPr="000B6507">
        <w:rPr>
          <w:i/>
          <w:iCs/>
        </w:rPr>
        <w:t>gas day</w:t>
      </w:r>
      <w:r w:rsidR="00311D43">
        <w:t xml:space="preserve">. </w:t>
      </w:r>
    </w:p>
    <w:p w14:paraId="7C32FA92" w14:textId="4DA03E65" w:rsidR="00311D43" w:rsidRPr="00637953" w:rsidRDefault="00311D43" w:rsidP="00311D43">
      <w:pPr>
        <w:pStyle w:val="BodyText"/>
      </w:pPr>
      <w:r>
        <w:t>D_Q</w:t>
      </w:r>
      <w:r w:rsidR="004B4871">
        <w:t>A</w:t>
      </w:r>
      <w:r>
        <w:t>LC</w:t>
      </w:r>
      <w:r>
        <w:rPr>
          <w:vertAlign w:val="subscript"/>
        </w:rPr>
        <w:t>s</w:t>
      </w:r>
      <w:r>
        <w:tab/>
        <w:t>= D_</w:t>
      </w:r>
      <w:r w:rsidR="004B4871">
        <w:t>A</w:t>
      </w:r>
      <w:r>
        <w:t>LC</w:t>
      </w:r>
      <w:r>
        <w:rPr>
          <w:vertAlign w:val="subscript"/>
        </w:rPr>
        <w:t>s</w:t>
      </w:r>
      <w:r>
        <w:t xml:space="preserve"> / PAVAPR</w:t>
      </w:r>
      <w:r w:rsidRPr="00CE50D7">
        <w:rPr>
          <w:vertAlign w:val="subscript"/>
        </w:rPr>
        <w:t>s</w:t>
      </w:r>
    </w:p>
    <w:p w14:paraId="55F94A99" w14:textId="111C6DA0" w:rsidR="00397177" w:rsidRDefault="00397177" w:rsidP="00D7654B">
      <w:pPr>
        <w:pStyle w:val="Heading1"/>
        <w:rPr>
          <w:rFonts w:eastAsia="Arial"/>
        </w:rPr>
      </w:pPr>
      <w:bookmarkStart w:id="51" w:name="_Toc62480210"/>
      <w:r>
        <w:rPr>
          <w:rFonts w:eastAsia="Arial"/>
        </w:rPr>
        <w:t>surprise uplift category</w:t>
      </w:r>
      <w:bookmarkEnd w:id="51"/>
    </w:p>
    <w:p w14:paraId="0AA650B8" w14:textId="22CAF030" w:rsidR="007228C9" w:rsidRDefault="007228C9" w:rsidP="007228C9">
      <w:pPr>
        <w:pStyle w:val="ResetPara"/>
      </w:pPr>
    </w:p>
    <w:p w14:paraId="5E6D2FBC" w14:textId="2A21A311" w:rsidR="0074530F" w:rsidRDefault="0074530F" w:rsidP="0074530F">
      <w:pPr>
        <w:pStyle w:val="Heading2"/>
      </w:pPr>
      <w:bookmarkStart w:id="52" w:name="_Toc62480211"/>
      <w:r>
        <w:t>General</w:t>
      </w:r>
      <w:bookmarkEnd w:id="52"/>
    </w:p>
    <w:p w14:paraId="42F5D49E" w14:textId="27091504" w:rsidR="0074530F" w:rsidRDefault="0074530F" w:rsidP="0074530F">
      <w:pPr>
        <w:pStyle w:val="ResetPara"/>
      </w:pPr>
    </w:p>
    <w:p w14:paraId="5297C644" w14:textId="209C3DDF" w:rsidR="00381609" w:rsidRDefault="0074530F" w:rsidP="00DD19EA">
      <w:pPr>
        <w:pStyle w:val="BodyText"/>
      </w:pPr>
      <w:r w:rsidRPr="00895387">
        <w:rPr>
          <w:i/>
          <w:iCs/>
        </w:rPr>
        <w:t>Surprise uplift</w:t>
      </w:r>
      <w:r>
        <w:t xml:space="preserve"> is determined </w:t>
      </w:r>
      <w:r w:rsidR="005D6ADE">
        <w:t xml:space="preserve">by AEMO </w:t>
      </w:r>
      <w:r>
        <w:t xml:space="preserve">for every </w:t>
      </w:r>
      <w:r w:rsidRPr="00895387">
        <w:rPr>
          <w:i/>
          <w:iCs/>
        </w:rPr>
        <w:t>operating schedule</w:t>
      </w:r>
      <w:r>
        <w:t xml:space="preserve"> for every </w:t>
      </w:r>
      <w:r w:rsidRPr="00895387">
        <w:rPr>
          <w:i/>
          <w:iCs/>
        </w:rPr>
        <w:t>gas day</w:t>
      </w:r>
      <w:r w:rsidR="005E1458">
        <w:t xml:space="preserve"> after the </w:t>
      </w:r>
      <w:r w:rsidR="005E1458" w:rsidRPr="00895387">
        <w:rPr>
          <w:i/>
          <w:iCs/>
        </w:rPr>
        <w:t xml:space="preserve">DTS SP </w:t>
      </w:r>
      <w:r w:rsidR="003A4EC9" w:rsidRPr="00895387">
        <w:rPr>
          <w:i/>
          <w:iCs/>
        </w:rPr>
        <w:t>uplift</w:t>
      </w:r>
      <w:r w:rsidR="003A4EC9">
        <w:t xml:space="preserve">, </w:t>
      </w:r>
      <w:r w:rsidR="003A4EC9" w:rsidRPr="00895387">
        <w:rPr>
          <w:i/>
          <w:iCs/>
        </w:rPr>
        <w:t xml:space="preserve">DTS SP event liability cap exceedance </w:t>
      </w:r>
      <w:r w:rsidR="00BA68AF" w:rsidRPr="00895387">
        <w:rPr>
          <w:i/>
          <w:iCs/>
        </w:rPr>
        <w:t>uplift</w:t>
      </w:r>
      <w:r w:rsidR="00BA68AF">
        <w:t>,</w:t>
      </w:r>
      <w:r w:rsidR="000A639D">
        <w:t xml:space="preserve"> and </w:t>
      </w:r>
      <w:r w:rsidR="00381609" w:rsidRPr="00895387">
        <w:rPr>
          <w:i/>
          <w:iCs/>
        </w:rPr>
        <w:t>DTS SP annual liability cap exceedance uplift</w:t>
      </w:r>
      <w:r w:rsidR="00DD19EA">
        <w:t xml:space="preserve">, but before the </w:t>
      </w:r>
      <w:r w:rsidR="00DD19EA" w:rsidRPr="00895387">
        <w:rPr>
          <w:i/>
          <w:iCs/>
        </w:rPr>
        <w:t>common uplift</w:t>
      </w:r>
      <w:r w:rsidR="00DD19EA">
        <w:t>.</w:t>
      </w:r>
    </w:p>
    <w:p w14:paraId="401F49D9" w14:textId="1BFB1A75" w:rsidR="005752D4" w:rsidRDefault="00B4318A" w:rsidP="009B0AF9">
      <w:pPr>
        <w:pStyle w:val="Heading2"/>
      </w:pPr>
      <w:bookmarkStart w:id="53" w:name="_Toc62480212"/>
      <w:r>
        <w:t>Determine</w:t>
      </w:r>
      <w:r w:rsidR="00BC40F4" w:rsidRPr="00042496">
        <w:t xml:space="preserve"> market participant effective demand forecast</w:t>
      </w:r>
      <w:bookmarkEnd w:id="26"/>
      <w:r w:rsidR="005752D4" w:rsidRPr="00042496">
        <w:t xml:space="preserve"> </w:t>
      </w:r>
      <w:r w:rsidR="00D3586F">
        <w:rPr>
          <w:rStyle w:val="FootnoteReference"/>
        </w:rPr>
        <w:footnoteReference w:id="7"/>
      </w:r>
      <w:bookmarkEnd w:id="53"/>
    </w:p>
    <w:p w14:paraId="36E33CEA" w14:textId="77777777" w:rsidR="00D3586F" w:rsidRPr="00D3586F" w:rsidRDefault="00D3586F" w:rsidP="00D3586F">
      <w:pPr>
        <w:pStyle w:val="ResetPara"/>
      </w:pPr>
    </w:p>
    <w:p w14:paraId="1C17112C" w14:textId="18EF072C" w:rsidR="005752D4" w:rsidRDefault="005752D4" w:rsidP="00C1291D">
      <w:pPr>
        <w:pStyle w:val="Lista"/>
      </w:pPr>
      <w:r>
        <w:t xml:space="preserve">Where a </w:t>
      </w:r>
      <w:r>
        <w:rPr>
          <w:i/>
        </w:rPr>
        <w:t>demand forecast override</w:t>
      </w:r>
      <w:r>
        <w:t xml:space="preserve"> increases the total forecast withdrawals by </w:t>
      </w:r>
      <w:r>
        <w:rPr>
          <w:i/>
        </w:rPr>
        <w:t>Market Participant</w:t>
      </w:r>
      <w:r>
        <w:t xml:space="preserve">s, the additional quantity of withdrawals is allocated by AEMO to those </w:t>
      </w:r>
      <w:r>
        <w:rPr>
          <w:i/>
        </w:rPr>
        <w:t xml:space="preserve">Market </w:t>
      </w:r>
      <w:r>
        <w:rPr>
          <w:i/>
        </w:rPr>
        <w:lastRenderedPageBreak/>
        <w:t>Participant</w:t>
      </w:r>
      <w:r>
        <w:t xml:space="preserve">s who have under forecast their withdrawals for the purpose of assigning surprise </w:t>
      </w:r>
      <w:r>
        <w:rPr>
          <w:i/>
        </w:rPr>
        <w:t>uplift payments</w:t>
      </w:r>
      <w:r>
        <w:t xml:space="preserve">.  </w:t>
      </w:r>
    </w:p>
    <w:p w14:paraId="3BFA81AD" w14:textId="23E25F4B" w:rsidR="005752D4" w:rsidRDefault="005752D4" w:rsidP="00C1291D">
      <w:pPr>
        <w:pStyle w:val="Lista"/>
      </w:pPr>
      <w:r>
        <w:t xml:space="preserve">Where a </w:t>
      </w:r>
      <w:r>
        <w:rPr>
          <w:i/>
        </w:rPr>
        <w:t>demand forecast override</w:t>
      </w:r>
      <w:r>
        <w:t xml:space="preserve"> decreases the total forecast withdrawals by </w:t>
      </w:r>
      <w:r>
        <w:rPr>
          <w:i/>
        </w:rPr>
        <w:t>Market Participant</w:t>
      </w:r>
      <w:r>
        <w:t xml:space="preserve">s, the subtracted quantity of withdrawals is not </w:t>
      </w:r>
      <w:r w:rsidR="00AD4626">
        <w:t>considered</w:t>
      </w:r>
      <w:r>
        <w:t xml:space="preserve"> by AEMO for the purposes of allocating </w:t>
      </w:r>
      <w:r>
        <w:rPr>
          <w:i/>
        </w:rPr>
        <w:t>uplift payments</w:t>
      </w:r>
      <w:r>
        <w:t xml:space="preserve">. </w:t>
      </w:r>
    </w:p>
    <w:p w14:paraId="024B2014" w14:textId="277FEE5A" w:rsidR="005752D4" w:rsidRDefault="005752D4" w:rsidP="00BC40F4">
      <w:pPr>
        <w:pStyle w:val="Heading3"/>
      </w:pPr>
      <w:bookmarkStart w:id="54" w:name="_Toc39571790"/>
      <w:bookmarkStart w:id="55" w:name="_Ref54688810"/>
      <w:r>
        <w:tab/>
        <w:t>Calculation of adjusted demand forecast override</w:t>
      </w:r>
      <w:bookmarkEnd w:id="54"/>
      <w:bookmarkEnd w:id="55"/>
    </w:p>
    <w:p w14:paraId="71E7BEE5" w14:textId="77777777" w:rsidR="00806DA7" w:rsidRPr="00806DA7" w:rsidRDefault="00806DA7" w:rsidP="00806DA7">
      <w:pPr>
        <w:pStyle w:val="ResetPara"/>
      </w:pPr>
    </w:p>
    <w:p w14:paraId="171A4ED9" w14:textId="1BCB5E67" w:rsidR="005752D4" w:rsidRDefault="005752D4" w:rsidP="004A735C">
      <w:pPr>
        <w:pStyle w:val="Lista"/>
        <w:numPr>
          <w:ilvl w:val="1"/>
          <w:numId w:val="30"/>
        </w:numPr>
      </w:pPr>
      <w:r>
        <w:t xml:space="preserve">If the net effect of all </w:t>
      </w:r>
      <w:r w:rsidRPr="004A735C">
        <w:rPr>
          <w:i/>
          <w:iCs/>
        </w:rPr>
        <w:t>demand forecast overrides</w:t>
      </w:r>
      <w:r>
        <w:t xml:space="preserve"> for all hours of a </w:t>
      </w:r>
      <w:r w:rsidRPr="004A735C">
        <w:rPr>
          <w:i/>
          <w:iCs/>
        </w:rPr>
        <w:t>scheduling interval</w:t>
      </w:r>
      <w:r>
        <w:t xml:space="preserve"> is either zero or a decrease in total forecast withdrawals, then for the purpose of allocating </w:t>
      </w:r>
      <w:r w:rsidRPr="004A735C">
        <w:rPr>
          <w:i/>
          <w:iCs/>
        </w:rPr>
        <w:t>uplift payments</w:t>
      </w:r>
      <w:r>
        <w:t xml:space="preserve"> to </w:t>
      </w:r>
      <w:r w:rsidRPr="004A735C">
        <w:rPr>
          <w:i/>
          <w:iCs/>
        </w:rPr>
        <w:t>Market Participant</w:t>
      </w:r>
      <w:r>
        <w:t xml:space="preserve">s, the adjusted </w:t>
      </w:r>
      <w:r w:rsidRPr="004A735C">
        <w:rPr>
          <w:i/>
          <w:iCs/>
        </w:rPr>
        <w:t>demand forecast override</w:t>
      </w:r>
      <w:r>
        <w:t xml:space="preserve"> in each hour of that </w:t>
      </w:r>
      <w:r w:rsidRPr="004A735C">
        <w:rPr>
          <w:i/>
          <w:iCs/>
        </w:rPr>
        <w:t>scheduling interval</w:t>
      </w:r>
      <w:r>
        <w:t xml:space="preserve"> will be deemed to be zero. </w:t>
      </w:r>
    </w:p>
    <w:p w14:paraId="674F9B6C" w14:textId="02C20BE3" w:rsidR="005752D4" w:rsidRDefault="005752D4" w:rsidP="00B35C69">
      <w:pPr>
        <w:pStyle w:val="Lista"/>
      </w:pPr>
      <w:r>
        <w:t xml:space="preserve">If the net effect of all </w:t>
      </w:r>
      <w:r>
        <w:rPr>
          <w:i/>
          <w:iCs/>
        </w:rPr>
        <w:t>demand forecast overrides</w:t>
      </w:r>
      <w:r>
        <w:t xml:space="preserve"> for all hours of a </w:t>
      </w:r>
      <w:r>
        <w:rPr>
          <w:i/>
          <w:iCs/>
        </w:rPr>
        <w:t>scheduling interval</w:t>
      </w:r>
      <w:r>
        <w:t xml:space="preserve"> is an increase in total forecast withdrawals and the effect of a </w:t>
      </w:r>
      <w:r>
        <w:rPr>
          <w:i/>
          <w:iCs/>
        </w:rPr>
        <w:t>demand forecast override</w:t>
      </w:r>
      <w:r>
        <w:t xml:space="preserve"> in an hour within the </w:t>
      </w:r>
      <w:r>
        <w:rPr>
          <w:i/>
          <w:iCs/>
        </w:rPr>
        <w:t>scheduling interval</w:t>
      </w:r>
      <w:r>
        <w:t xml:space="preserve"> is either zero or a decrease in total forecast withdrawals, then for the purpose of allocating </w:t>
      </w:r>
      <w:r>
        <w:rPr>
          <w:i/>
          <w:iCs/>
        </w:rPr>
        <w:t>uplift payments</w:t>
      </w:r>
      <w:r>
        <w:t xml:space="preserve"> to </w:t>
      </w:r>
      <w:r>
        <w:rPr>
          <w:i/>
          <w:iCs/>
        </w:rPr>
        <w:t>Market Participant</w:t>
      </w:r>
      <w:r>
        <w:t xml:space="preserve">s, the adjusted </w:t>
      </w:r>
      <w:r>
        <w:rPr>
          <w:i/>
          <w:iCs/>
        </w:rPr>
        <w:t>demand forecast override</w:t>
      </w:r>
      <w:r>
        <w:t xml:space="preserve"> in that hour of that </w:t>
      </w:r>
      <w:r>
        <w:rPr>
          <w:i/>
          <w:iCs/>
        </w:rPr>
        <w:t>scheduling interval</w:t>
      </w:r>
      <w:r>
        <w:t xml:space="preserve"> will be deemed to be zero. </w:t>
      </w:r>
    </w:p>
    <w:p w14:paraId="740A5EBD" w14:textId="0D740862" w:rsidR="005752D4" w:rsidRDefault="005752D4" w:rsidP="00B35C69">
      <w:pPr>
        <w:pStyle w:val="Lista"/>
        <w:rPr>
          <w:noProof/>
        </w:rPr>
      </w:pPr>
      <w:r>
        <w:rPr>
          <w:noProof/>
        </w:rPr>
        <w:t xml:space="preserve">If the net effect of all </w:t>
      </w:r>
      <w:r w:rsidRPr="00447964">
        <w:rPr>
          <w:i/>
          <w:iCs/>
          <w:noProof/>
        </w:rPr>
        <w:t>demand forecast overrides</w:t>
      </w:r>
      <w:r>
        <w:rPr>
          <w:noProof/>
        </w:rPr>
        <w:t xml:space="preserve"> for all hours of a </w:t>
      </w:r>
      <w:r w:rsidRPr="00447964">
        <w:rPr>
          <w:i/>
          <w:iCs/>
          <w:noProof/>
        </w:rPr>
        <w:t>scheduling interval</w:t>
      </w:r>
      <w:r>
        <w:rPr>
          <w:noProof/>
        </w:rPr>
        <w:t xml:space="preserve"> is an increase in total forecast withdrawals and the effect of a </w:t>
      </w:r>
      <w:r w:rsidRPr="00447964">
        <w:rPr>
          <w:i/>
          <w:iCs/>
          <w:noProof/>
        </w:rPr>
        <w:t>demand forecast override</w:t>
      </w:r>
      <w:r>
        <w:rPr>
          <w:noProof/>
        </w:rPr>
        <w:t xml:space="preserve"> in an hour within the </w:t>
      </w:r>
      <w:r w:rsidRPr="00447964">
        <w:rPr>
          <w:i/>
          <w:iCs/>
          <w:noProof/>
        </w:rPr>
        <w:t>scheduling interval</w:t>
      </w:r>
      <w:r>
        <w:rPr>
          <w:noProof/>
        </w:rPr>
        <w:t xml:space="preserve"> is an increase in total forecast withdrawals, the adjusted demand forecast override is this value multiplied by the ratio created by dividing the cumulative demand forecast override in the</w:t>
      </w:r>
      <w:r w:rsidRPr="004C6A8E">
        <w:rPr>
          <w:i/>
          <w:iCs/>
          <w:noProof/>
        </w:rPr>
        <w:t xml:space="preserve"> scheduling interval</w:t>
      </w:r>
      <w:r>
        <w:rPr>
          <w:noProof/>
        </w:rPr>
        <w:t xml:space="preserve"> (which must be positive) by the sum of the hourly</w:t>
      </w:r>
      <w:r w:rsidRPr="004C6A8E">
        <w:rPr>
          <w:i/>
          <w:iCs/>
          <w:noProof/>
        </w:rPr>
        <w:t xml:space="preserve"> demand forecast overrides</w:t>
      </w:r>
      <w:r>
        <w:rPr>
          <w:noProof/>
        </w:rPr>
        <w:t xml:space="preserve"> in that </w:t>
      </w:r>
      <w:r w:rsidRPr="004C6A8E">
        <w:rPr>
          <w:i/>
          <w:iCs/>
          <w:noProof/>
        </w:rPr>
        <w:t>scheduling interval</w:t>
      </w:r>
      <w:r>
        <w:rPr>
          <w:noProof/>
        </w:rPr>
        <w:t xml:space="preserve"> which exceed zero. This ratio must be greater than 0 and less than 1. </w:t>
      </w:r>
    </w:p>
    <w:p w14:paraId="4CE17710" w14:textId="7D1259F1" w:rsidR="005752D4" w:rsidRDefault="005752D4" w:rsidP="00BC40F4">
      <w:pPr>
        <w:pStyle w:val="Heading3"/>
      </w:pPr>
      <w:bookmarkStart w:id="56" w:name="_Toc39571791"/>
      <w:r>
        <w:tab/>
      </w:r>
      <w:bookmarkStart w:id="57" w:name="_Ref54621866"/>
      <w:r>
        <w:t>Allocation of adjusted demand forecast override to Market Participants</w:t>
      </w:r>
      <w:bookmarkEnd w:id="56"/>
      <w:bookmarkEnd w:id="57"/>
    </w:p>
    <w:p w14:paraId="441180D7" w14:textId="77777777" w:rsidR="00806DA7" w:rsidRPr="00806DA7" w:rsidRDefault="00806DA7" w:rsidP="00806DA7">
      <w:pPr>
        <w:pStyle w:val="ResetPara"/>
      </w:pPr>
    </w:p>
    <w:p w14:paraId="00A18B24" w14:textId="4FC080FA" w:rsidR="005752D4" w:rsidRDefault="005752D4" w:rsidP="001372E6">
      <w:pPr>
        <w:pStyle w:val="Lista"/>
        <w:numPr>
          <w:ilvl w:val="1"/>
          <w:numId w:val="17"/>
        </w:numPr>
      </w:pPr>
      <w:r>
        <w:t xml:space="preserve">If there is a positive adjusted </w:t>
      </w:r>
      <w:r w:rsidRPr="00C8018C">
        <w:rPr>
          <w:i/>
        </w:rPr>
        <w:t>demand forecast override</w:t>
      </w:r>
      <w:r>
        <w:t xml:space="preserve"> for an hour under clause </w:t>
      </w:r>
      <w:r w:rsidR="00E940B7">
        <w:rPr>
          <w:color w:val="2B579A"/>
          <w:shd w:val="clear" w:color="auto" w:fill="E6E6E6"/>
        </w:rPr>
        <w:fldChar w:fldCharType="begin"/>
      </w:r>
      <w:r w:rsidR="00E940B7">
        <w:instrText xml:space="preserve"> REF _Ref54688810 \r \h </w:instrText>
      </w:r>
      <w:r w:rsidR="00E940B7">
        <w:rPr>
          <w:color w:val="2B579A"/>
          <w:shd w:val="clear" w:color="auto" w:fill="E6E6E6"/>
        </w:rPr>
      </w:r>
      <w:r w:rsidR="00E940B7">
        <w:rPr>
          <w:color w:val="2B579A"/>
          <w:shd w:val="clear" w:color="auto" w:fill="E6E6E6"/>
        </w:rPr>
        <w:fldChar w:fldCharType="separate"/>
      </w:r>
      <w:r w:rsidR="00BA68AF">
        <w:t>7.2.1</w:t>
      </w:r>
      <w:r w:rsidR="00E940B7">
        <w:rPr>
          <w:color w:val="2B579A"/>
          <w:shd w:val="clear" w:color="auto" w:fill="E6E6E6"/>
        </w:rPr>
        <w:fldChar w:fldCharType="end"/>
      </w:r>
      <w:r>
        <w:t xml:space="preserve">, </w:t>
      </w:r>
      <w:r w:rsidRPr="00C8018C">
        <w:rPr>
          <w:i/>
        </w:rPr>
        <w:t>demand forecast override</w:t>
      </w:r>
      <w:r>
        <w:t xml:space="preserve"> in that hour is allocated by AEMO to those </w:t>
      </w:r>
      <w:r w:rsidRPr="00C8018C">
        <w:rPr>
          <w:i/>
        </w:rPr>
        <w:t>Market Participant</w:t>
      </w:r>
      <w:r>
        <w:t xml:space="preserve">s which withdrew more gas in that hour than their </w:t>
      </w:r>
      <w:r w:rsidRPr="00C8018C">
        <w:rPr>
          <w:i/>
        </w:rPr>
        <w:t>demand forecast</w:t>
      </w:r>
      <w:r>
        <w:t xml:space="preserve">, but the amount of additional withdrawals allocated to a </w:t>
      </w:r>
      <w:r w:rsidRPr="00C8018C">
        <w:rPr>
          <w:i/>
        </w:rPr>
        <w:t>Market Participant</w:t>
      </w:r>
      <w:r>
        <w:t xml:space="preserve"> must not exceed the amount by which that </w:t>
      </w:r>
      <w:r w:rsidRPr="00C8018C">
        <w:rPr>
          <w:i/>
        </w:rPr>
        <w:t>Market Participant</w:t>
      </w:r>
      <w:r>
        <w:t xml:space="preserve"> exceeded its </w:t>
      </w:r>
      <w:r w:rsidRPr="00C8018C">
        <w:rPr>
          <w:i/>
        </w:rPr>
        <w:t>demand forecast</w:t>
      </w:r>
      <w:r>
        <w:t xml:space="preserve"> for that hour. </w:t>
      </w:r>
    </w:p>
    <w:p w14:paraId="50638DE3" w14:textId="77777777" w:rsidR="005752D4" w:rsidRDefault="005752D4" w:rsidP="00C8018C">
      <w:pPr>
        <w:pStyle w:val="Lista"/>
      </w:pPr>
      <w:r>
        <w:t>For each hour in the</w:t>
      </w:r>
      <w:r w:rsidRPr="004141C2">
        <w:rPr>
          <w:i/>
          <w:iCs/>
        </w:rPr>
        <w:t xml:space="preserve"> scheduling horizon</w:t>
      </w:r>
      <w:r>
        <w:t xml:space="preserve"> of each </w:t>
      </w:r>
      <w:r w:rsidRPr="004141C2">
        <w:rPr>
          <w:i/>
          <w:iCs/>
        </w:rPr>
        <w:t>operating schedule</w:t>
      </w:r>
      <w:r>
        <w:t xml:space="preserve">: </w:t>
      </w:r>
    </w:p>
    <w:p w14:paraId="426110EF" w14:textId="2AD06B32" w:rsidR="005752D4" w:rsidRDefault="005752D4" w:rsidP="00C8018C">
      <w:pPr>
        <w:pStyle w:val="Listi"/>
      </w:pPr>
      <w:r>
        <w:t xml:space="preserve">if the adjusted </w:t>
      </w:r>
      <w:r w:rsidRPr="00B35C69">
        <w:rPr>
          <w:i/>
          <w:iCs/>
        </w:rPr>
        <w:t>demand forecast override</w:t>
      </w:r>
      <w:r>
        <w:t xml:space="preserve"> exceeds zero but is less than the total amount by which </w:t>
      </w:r>
      <w:r w:rsidRPr="00B35C69">
        <w:rPr>
          <w:i/>
          <w:iCs/>
        </w:rPr>
        <w:t>Market Participant</w:t>
      </w:r>
      <w:r>
        <w:t xml:space="preserve">s exceed their </w:t>
      </w:r>
      <w:r w:rsidRPr="00B35C69">
        <w:rPr>
          <w:i/>
          <w:iCs/>
        </w:rPr>
        <w:t>demand forecasts</w:t>
      </w:r>
      <w:r>
        <w:t xml:space="preserve"> for that hour, the adjusted </w:t>
      </w:r>
      <w:r w:rsidRPr="00B35C69">
        <w:rPr>
          <w:i/>
          <w:iCs/>
        </w:rPr>
        <w:t>demand forecast override</w:t>
      </w:r>
      <w:r>
        <w:t xml:space="preserve"> is allocated on a pro-rata basis to those </w:t>
      </w:r>
      <w:r w:rsidRPr="00B35C69">
        <w:rPr>
          <w:i/>
          <w:iCs/>
        </w:rPr>
        <w:t>Market Participant</w:t>
      </w:r>
      <w:r>
        <w:t xml:space="preserve">s whose uncontrollable withdrawals of gas from the declared transmission system in that hour exceeded their </w:t>
      </w:r>
      <w:r w:rsidRPr="00B35C69">
        <w:rPr>
          <w:i/>
          <w:iCs/>
        </w:rPr>
        <w:t>demand forecasts</w:t>
      </w:r>
      <w:r>
        <w:t xml:space="preserve"> for that hour; and </w:t>
      </w:r>
    </w:p>
    <w:p w14:paraId="20D3836F" w14:textId="42897AC4" w:rsidR="005752D4" w:rsidRDefault="005752D4" w:rsidP="003575E1">
      <w:pPr>
        <w:pStyle w:val="Listi"/>
      </w:pPr>
      <w:bookmarkStart w:id="58" w:name="_Ref54621759"/>
      <w:r>
        <w:t xml:space="preserve">if the adjusted </w:t>
      </w:r>
      <w:r>
        <w:rPr>
          <w:i/>
          <w:iCs/>
        </w:rPr>
        <w:t>demand forecast override</w:t>
      </w:r>
      <w:r>
        <w:t xml:space="preserve"> exceeds the amount by which </w:t>
      </w:r>
      <w:r>
        <w:rPr>
          <w:i/>
          <w:iCs/>
        </w:rPr>
        <w:t>Market Participant</w:t>
      </w:r>
      <w:r>
        <w:t xml:space="preserve">s in total exceed their </w:t>
      </w:r>
      <w:r>
        <w:rPr>
          <w:i/>
          <w:iCs/>
        </w:rPr>
        <w:t>demand forecasts</w:t>
      </w:r>
      <w:r>
        <w:t xml:space="preserve">, the adjusted </w:t>
      </w:r>
      <w:r>
        <w:rPr>
          <w:i/>
          <w:iCs/>
        </w:rPr>
        <w:t>demand forecast override</w:t>
      </w:r>
      <w:r>
        <w:t xml:space="preserve"> is allocated to those </w:t>
      </w:r>
      <w:r>
        <w:rPr>
          <w:i/>
          <w:iCs/>
        </w:rPr>
        <w:t>Market Participant</w:t>
      </w:r>
      <w:r>
        <w:t xml:space="preserve">s whose uncontrollable withdrawals of gas from the declared transmission system in that hour exceeded their </w:t>
      </w:r>
      <w:r>
        <w:rPr>
          <w:i/>
          <w:iCs/>
        </w:rPr>
        <w:t>demand forecasts</w:t>
      </w:r>
      <w:r>
        <w:t xml:space="preserve"> for that hour but only up to the actual quantities by which their actual uncontrollable withdrawals exceed their </w:t>
      </w:r>
      <w:r>
        <w:rPr>
          <w:i/>
          <w:iCs/>
        </w:rPr>
        <w:t>demand forecasts</w:t>
      </w:r>
      <w:r>
        <w:t xml:space="preserve"> for that hour.  Where this does not account for the full amount of the adjusted </w:t>
      </w:r>
      <w:r>
        <w:rPr>
          <w:i/>
          <w:iCs/>
        </w:rPr>
        <w:t>demand forecast override</w:t>
      </w:r>
      <w:r>
        <w:t xml:space="preserve">, any </w:t>
      </w:r>
      <w:r>
        <w:rPr>
          <w:i/>
          <w:iCs/>
        </w:rPr>
        <w:t>uplift payments</w:t>
      </w:r>
      <w:r>
        <w:t xml:space="preserve"> associated with the balance of the adjusted </w:t>
      </w:r>
      <w:r>
        <w:rPr>
          <w:i/>
          <w:iCs/>
        </w:rPr>
        <w:t>demand forecast override</w:t>
      </w:r>
      <w:r>
        <w:t xml:space="preserve"> are recovered by AEMO as common </w:t>
      </w:r>
      <w:r>
        <w:rPr>
          <w:i/>
          <w:iCs/>
        </w:rPr>
        <w:t>uplift payments</w:t>
      </w:r>
      <w:r>
        <w:t>.</w:t>
      </w:r>
      <w:bookmarkEnd w:id="58"/>
      <w:r>
        <w:t xml:space="preserve"> </w:t>
      </w:r>
    </w:p>
    <w:p w14:paraId="7A73C38E" w14:textId="6BCCDD03" w:rsidR="005752D4" w:rsidRDefault="005752D4" w:rsidP="003575E1">
      <w:pPr>
        <w:pStyle w:val="Lista"/>
      </w:pPr>
      <w:r>
        <w:lastRenderedPageBreak/>
        <w:t xml:space="preserve">A </w:t>
      </w:r>
      <w:r>
        <w:rPr>
          <w:i/>
        </w:rPr>
        <w:t>Market Participant</w:t>
      </w:r>
      <w:r>
        <w:t xml:space="preserve">’s effective </w:t>
      </w:r>
      <w:r>
        <w:rPr>
          <w:i/>
        </w:rPr>
        <w:t>demand forecast</w:t>
      </w:r>
      <w:r>
        <w:t xml:space="preserve"> for each hour within t</w:t>
      </w:r>
      <w:r w:rsidRPr="00E940B7">
        <w:t>he scheduling interval of an operating schedule is the demand forecast for that Market Participant plus the adjusted demand forecast override for that hour as determined in clauses a) and b) abov</w:t>
      </w:r>
      <w:r>
        <w:t xml:space="preserve">e. </w:t>
      </w:r>
    </w:p>
    <w:p w14:paraId="462218CB" w14:textId="342FB97E" w:rsidR="005752D4" w:rsidRDefault="005752D4" w:rsidP="00BC40F4">
      <w:pPr>
        <w:pStyle w:val="Heading3"/>
      </w:pPr>
      <w:bookmarkStart w:id="59" w:name="_Toc39571792"/>
      <w:r>
        <w:tab/>
      </w:r>
      <w:bookmarkStart w:id="60" w:name="_Ref54623502"/>
      <w:r>
        <w:t>Residual Demand Forecast Override</w:t>
      </w:r>
      <w:bookmarkEnd w:id="59"/>
      <w:bookmarkEnd w:id="60"/>
      <w:r>
        <w:t xml:space="preserve"> </w:t>
      </w:r>
    </w:p>
    <w:p w14:paraId="25EBEEE4" w14:textId="77777777" w:rsidR="00806DA7" w:rsidRPr="00806DA7" w:rsidRDefault="00806DA7" w:rsidP="00806DA7">
      <w:pPr>
        <w:pStyle w:val="ResetPara"/>
      </w:pPr>
    </w:p>
    <w:p w14:paraId="026E3D02" w14:textId="3B4A7182" w:rsidR="00806DA7" w:rsidRDefault="005752D4" w:rsidP="00AB2539">
      <w:pPr>
        <w:pStyle w:val="BodyText"/>
      </w:pPr>
      <w:r w:rsidRPr="003A3E2A">
        <w:t xml:space="preserve">The residual amount of </w:t>
      </w:r>
      <w:r w:rsidRPr="003A3E2A">
        <w:rPr>
          <w:i/>
        </w:rPr>
        <w:t>demand forecast override</w:t>
      </w:r>
      <w:r w:rsidRPr="003A3E2A">
        <w:t xml:space="preserve"> which</w:t>
      </w:r>
      <w:r w:rsidR="00542A5D" w:rsidRPr="003A3E2A">
        <w:t xml:space="preserve">, other than </w:t>
      </w:r>
      <w:r w:rsidR="00351373" w:rsidRPr="003A3E2A">
        <w:t xml:space="preserve">as set out in </w:t>
      </w:r>
      <w:r w:rsidR="00351373" w:rsidRPr="003A3E2A">
        <w:rPr>
          <w:color w:val="2B579A"/>
          <w:shd w:val="clear" w:color="auto" w:fill="E6E6E6"/>
        </w:rPr>
        <w:fldChar w:fldCharType="begin"/>
      </w:r>
      <w:r w:rsidR="00351373" w:rsidRPr="003A3E2A">
        <w:instrText xml:space="preserve"> REF _Ref54623620 \r \h </w:instrText>
      </w:r>
      <w:r w:rsidR="003A3E2A">
        <w:instrText xml:space="preserve"> \* MERGEFORMAT </w:instrText>
      </w:r>
      <w:r w:rsidR="00351373" w:rsidRPr="003A3E2A">
        <w:rPr>
          <w:color w:val="2B579A"/>
          <w:shd w:val="clear" w:color="auto" w:fill="E6E6E6"/>
        </w:rPr>
      </w:r>
      <w:r w:rsidR="00351373" w:rsidRPr="003A3E2A">
        <w:rPr>
          <w:color w:val="2B579A"/>
          <w:shd w:val="clear" w:color="auto" w:fill="E6E6E6"/>
        </w:rPr>
        <w:fldChar w:fldCharType="separate"/>
      </w:r>
      <w:r w:rsidR="00BA68AF">
        <w:t>7.3.3</w:t>
      </w:r>
      <w:r w:rsidR="00351373" w:rsidRPr="003A3E2A">
        <w:rPr>
          <w:color w:val="2B579A"/>
          <w:shd w:val="clear" w:color="auto" w:fill="E6E6E6"/>
        </w:rPr>
        <w:fldChar w:fldCharType="end"/>
      </w:r>
      <w:r w:rsidR="00351373" w:rsidRPr="003A3E2A">
        <w:rPr>
          <w:color w:val="2B579A"/>
          <w:shd w:val="clear" w:color="auto" w:fill="E6E6E6"/>
        </w:rPr>
        <w:fldChar w:fldCharType="begin"/>
      </w:r>
      <w:r w:rsidR="00351373" w:rsidRPr="003A3E2A">
        <w:instrText xml:space="preserve"> REF _Ref57711894 \n \h </w:instrText>
      </w:r>
      <w:r w:rsidR="003A3E2A">
        <w:instrText xml:space="preserve"> \* MERGEFORMAT </w:instrText>
      </w:r>
      <w:r w:rsidR="00351373" w:rsidRPr="003A3E2A">
        <w:rPr>
          <w:color w:val="2B579A"/>
          <w:shd w:val="clear" w:color="auto" w:fill="E6E6E6"/>
        </w:rPr>
      </w:r>
      <w:r w:rsidR="00351373" w:rsidRPr="003A3E2A">
        <w:rPr>
          <w:color w:val="2B579A"/>
          <w:shd w:val="clear" w:color="auto" w:fill="E6E6E6"/>
        </w:rPr>
        <w:fldChar w:fldCharType="separate"/>
      </w:r>
      <w:r w:rsidR="00BA68AF">
        <w:t>(a)</w:t>
      </w:r>
      <w:r w:rsidR="00351373" w:rsidRPr="003A3E2A">
        <w:rPr>
          <w:color w:val="2B579A"/>
          <w:shd w:val="clear" w:color="auto" w:fill="E6E6E6"/>
        </w:rPr>
        <w:fldChar w:fldCharType="end"/>
      </w:r>
      <w:r w:rsidR="00351373" w:rsidRPr="003A3E2A">
        <w:t xml:space="preserve"> </w:t>
      </w:r>
      <w:r w:rsidR="00542A5D" w:rsidRPr="003A3E2A">
        <w:t xml:space="preserve">for the first </w:t>
      </w:r>
      <w:r w:rsidR="00542A5D" w:rsidRPr="003A3E2A">
        <w:rPr>
          <w:i/>
          <w:iCs/>
        </w:rPr>
        <w:t>operating schedule</w:t>
      </w:r>
      <w:r w:rsidR="00542A5D" w:rsidRPr="003A3E2A">
        <w:t xml:space="preserve"> of a </w:t>
      </w:r>
      <w:r w:rsidR="00542A5D" w:rsidRPr="003A3E2A">
        <w:rPr>
          <w:i/>
          <w:iCs/>
        </w:rPr>
        <w:t>gas day</w:t>
      </w:r>
      <w:r w:rsidR="00416D72" w:rsidRPr="003A3E2A">
        <w:t>,</w:t>
      </w:r>
      <w:r w:rsidRPr="003A3E2A">
        <w:t xml:space="preserve"> is</w:t>
      </w:r>
      <w:r w:rsidR="004A4512" w:rsidRPr="003A3E2A">
        <w:t xml:space="preserve"> included in</w:t>
      </w:r>
      <w:r w:rsidR="00416D72" w:rsidRPr="003A3E2A">
        <w:t xml:space="preserve"> the calculation for</w:t>
      </w:r>
      <w:r w:rsidR="004A4512" w:rsidRPr="003A3E2A">
        <w:t xml:space="preserve"> </w:t>
      </w:r>
      <w:r w:rsidRPr="003A3E2A">
        <w:rPr>
          <w:i/>
          <w:iCs/>
        </w:rPr>
        <w:t>common</w:t>
      </w:r>
      <w:r w:rsidRPr="003A3E2A">
        <w:t xml:space="preserve"> </w:t>
      </w:r>
      <w:r w:rsidRPr="003A3E2A">
        <w:rPr>
          <w:i/>
        </w:rPr>
        <w:t>uplift</w:t>
      </w:r>
      <w:r w:rsidRPr="003A3E2A">
        <w:t xml:space="preserve">, is equal to the sum of all </w:t>
      </w:r>
      <w:r w:rsidRPr="003A3E2A">
        <w:rPr>
          <w:i/>
        </w:rPr>
        <w:t>Market Participant</w:t>
      </w:r>
      <w:r w:rsidRPr="003A3E2A">
        <w:t xml:space="preserve">s’ </w:t>
      </w:r>
      <w:r w:rsidRPr="003A3E2A">
        <w:rPr>
          <w:i/>
        </w:rPr>
        <w:t>demand forecasts</w:t>
      </w:r>
      <w:r w:rsidRPr="003A3E2A">
        <w:t xml:space="preserve"> and the </w:t>
      </w:r>
      <w:r w:rsidRPr="003A3E2A">
        <w:rPr>
          <w:i/>
        </w:rPr>
        <w:t>demand forecast overrides</w:t>
      </w:r>
      <w:r w:rsidRPr="003A3E2A">
        <w:t xml:space="preserve"> less the sum of</w:t>
      </w:r>
      <w:r>
        <w:t xml:space="preserve"> all </w:t>
      </w:r>
      <w:r>
        <w:rPr>
          <w:i/>
        </w:rPr>
        <w:t>demand forecasts</w:t>
      </w:r>
      <w:r>
        <w:t xml:space="preserve"> after adjustment under claus</w:t>
      </w:r>
      <w:r w:rsidRPr="00F66414">
        <w:t xml:space="preserve">e </w:t>
      </w:r>
      <w:r w:rsidR="00E87EA1" w:rsidRPr="00F66414">
        <w:rPr>
          <w:color w:val="2B579A"/>
          <w:shd w:val="clear" w:color="auto" w:fill="E6E6E6"/>
        </w:rPr>
        <w:fldChar w:fldCharType="begin"/>
      </w:r>
      <w:r w:rsidR="00E87EA1" w:rsidRPr="00F66414">
        <w:instrText xml:space="preserve"> REF _Ref54621866 \r \h </w:instrText>
      </w:r>
      <w:r w:rsidR="00047774" w:rsidRPr="00F66414">
        <w:instrText xml:space="preserve"> \* MERGEFORMAT </w:instrText>
      </w:r>
      <w:r w:rsidR="00E87EA1" w:rsidRPr="00F66414">
        <w:rPr>
          <w:color w:val="2B579A"/>
          <w:shd w:val="clear" w:color="auto" w:fill="E6E6E6"/>
        </w:rPr>
      </w:r>
      <w:r w:rsidR="00E87EA1" w:rsidRPr="00F66414">
        <w:rPr>
          <w:color w:val="2B579A"/>
          <w:shd w:val="clear" w:color="auto" w:fill="E6E6E6"/>
        </w:rPr>
        <w:fldChar w:fldCharType="separate"/>
      </w:r>
      <w:r w:rsidR="00BA68AF">
        <w:t>7.2.2</w:t>
      </w:r>
      <w:r w:rsidR="00E87EA1" w:rsidRPr="00F66414">
        <w:rPr>
          <w:color w:val="2B579A"/>
          <w:shd w:val="clear" w:color="auto" w:fill="E6E6E6"/>
        </w:rPr>
        <w:fldChar w:fldCharType="end"/>
      </w:r>
      <w:r w:rsidRPr="00F66414">
        <w:t>, f</w:t>
      </w:r>
      <w:r>
        <w:t xml:space="preserve">or each hour in the </w:t>
      </w:r>
      <w:r>
        <w:rPr>
          <w:i/>
        </w:rPr>
        <w:t>scheduling horizon</w:t>
      </w:r>
      <w:r>
        <w:t xml:space="preserve"> of each </w:t>
      </w:r>
      <w:r>
        <w:rPr>
          <w:i/>
        </w:rPr>
        <w:t>operating schedule</w:t>
      </w:r>
      <w:r>
        <w:t xml:space="preserve"> for the </w:t>
      </w:r>
      <w:r>
        <w:rPr>
          <w:i/>
        </w:rPr>
        <w:t>gas day</w:t>
      </w:r>
      <w:r>
        <w:t xml:space="preserve">. Non-zero residual </w:t>
      </w:r>
      <w:r>
        <w:rPr>
          <w:i/>
        </w:rPr>
        <w:t>demand forecast override</w:t>
      </w:r>
      <w:r>
        <w:t xml:space="preserve"> can only occur in the circumstances described in clause</w:t>
      </w:r>
      <w:r w:rsidR="00B92AA0">
        <w:t xml:space="preserve"> </w:t>
      </w:r>
      <w:r w:rsidR="00B92AA0" w:rsidRPr="00F66414">
        <w:rPr>
          <w:color w:val="2B579A"/>
          <w:shd w:val="clear" w:color="auto" w:fill="E6E6E6"/>
        </w:rPr>
        <w:fldChar w:fldCharType="begin"/>
      </w:r>
      <w:r w:rsidR="00B92AA0" w:rsidRPr="00F66414">
        <w:instrText xml:space="preserve"> REF _Ref54621866 \r \h </w:instrText>
      </w:r>
      <w:r w:rsidR="00047774" w:rsidRPr="00F66414">
        <w:instrText xml:space="preserve"> \* MERGEFORMAT </w:instrText>
      </w:r>
      <w:r w:rsidR="00B92AA0" w:rsidRPr="00F66414">
        <w:rPr>
          <w:color w:val="2B579A"/>
          <w:shd w:val="clear" w:color="auto" w:fill="E6E6E6"/>
        </w:rPr>
      </w:r>
      <w:r w:rsidR="00B92AA0" w:rsidRPr="00F66414">
        <w:rPr>
          <w:color w:val="2B579A"/>
          <w:shd w:val="clear" w:color="auto" w:fill="E6E6E6"/>
        </w:rPr>
        <w:fldChar w:fldCharType="separate"/>
      </w:r>
      <w:r w:rsidR="00BA68AF">
        <w:t>7.2.2</w:t>
      </w:r>
      <w:r w:rsidR="00B92AA0" w:rsidRPr="00F66414">
        <w:rPr>
          <w:color w:val="2B579A"/>
          <w:shd w:val="clear" w:color="auto" w:fill="E6E6E6"/>
        </w:rPr>
        <w:fldChar w:fldCharType="end"/>
      </w:r>
      <w:r w:rsidR="00F66414" w:rsidRPr="00F66414">
        <w:rPr>
          <w:color w:val="2B579A"/>
          <w:shd w:val="clear" w:color="auto" w:fill="E6E6E6"/>
        </w:rPr>
        <w:fldChar w:fldCharType="begin"/>
      </w:r>
      <w:r w:rsidR="00F66414" w:rsidRPr="00F66414">
        <w:instrText xml:space="preserve"> REF _Ref54621759 \r \h </w:instrText>
      </w:r>
      <w:r w:rsidR="00F66414">
        <w:instrText xml:space="preserve"> \* MERGEFORMAT </w:instrText>
      </w:r>
      <w:r w:rsidR="00F66414" w:rsidRPr="00F66414">
        <w:rPr>
          <w:color w:val="2B579A"/>
          <w:shd w:val="clear" w:color="auto" w:fill="E6E6E6"/>
        </w:rPr>
      </w:r>
      <w:r w:rsidR="00F66414" w:rsidRPr="00F66414">
        <w:rPr>
          <w:color w:val="2B579A"/>
          <w:shd w:val="clear" w:color="auto" w:fill="E6E6E6"/>
        </w:rPr>
        <w:fldChar w:fldCharType="separate"/>
      </w:r>
      <w:r w:rsidR="00BA68AF">
        <w:t>(b)(ii)</w:t>
      </w:r>
      <w:r w:rsidR="00F66414" w:rsidRPr="00F66414">
        <w:rPr>
          <w:color w:val="2B579A"/>
          <w:shd w:val="clear" w:color="auto" w:fill="E6E6E6"/>
        </w:rPr>
        <w:fldChar w:fldCharType="end"/>
      </w:r>
      <w:r w:rsidRPr="00F66414">
        <w:t>.</w:t>
      </w:r>
      <w:r>
        <w:t xml:space="preserve"> </w:t>
      </w:r>
      <w:bookmarkStart w:id="61" w:name="_Toc39571793"/>
      <w:bookmarkStart w:id="62" w:name="_Ref55571296"/>
      <w:bookmarkStart w:id="63" w:name="_Toc62480213"/>
      <w:r w:rsidR="003721F1">
        <w:t>Surprise uplift quantities</w:t>
      </w:r>
      <w:bookmarkEnd w:id="61"/>
      <w:bookmarkEnd w:id="62"/>
      <w:r>
        <w:t xml:space="preserve"> </w:t>
      </w:r>
      <w:r w:rsidR="00AA5A5E">
        <w:rPr>
          <w:rStyle w:val="FootnoteReference"/>
        </w:rPr>
        <w:footnoteReference w:id="8"/>
      </w:r>
      <w:bookmarkEnd w:id="63"/>
    </w:p>
    <w:p w14:paraId="458A27B9" w14:textId="3D0EA7E6" w:rsidR="005C47BD" w:rsidRDefault="005C47BD" w:rsidP="009F21F1">
      <w:pPr>
        <w:pStyle w:val="Heading3"/>
      </w:pPr>
      <w:bookmarkStart w:id="64" w:name="_Ref57199762"/>
      <w:bookmarkStart w:id="65" w:name="_Ref54622622"/>
      <w:r>
        <w:t xml:space="preserve">Adjusted </w:t>
      </w:r>
      <w:r w:rsidR="00B1263A">
        <w:t>Deviation</w:t>
      </w:r>
      <w:bookmarkEnd w:id="64"/>
    </w:p>
    <w:p w14:paraId="313C0F6D" w14:textId="77777777" w:rsidR="00CA4C23" w:rsidRPr="00CA4C23" w:rsidRDefault="00CA4C23" w:rsidP="00CA4C23">
      <w:pPr>
        <w:pStyle w:val="ResetPara"/>
      </w:pPr>
    </w:p>
    <w:bookmarkEnd w:id="65"/>
    <w:p w14:paraId="676BC06E" w14:textId="77777777" w:rsidR="005752D4" w:rsidRDefault="005752D4" w:rsidP="001372E6">
      <w:pPr>
        <w:pStyle w:val="Lista"/>
        <w:numPr>
          <w:ilvl w:val="1"/>
          <w:numId w:val="18"/>
        </w:numPr>
      </w:pPr>
      <w:r>
        <w:t xml:space="preserve">For each hour of the </w:t>
      </w:r>
      <w:r w:rsidRPr="00DB2BFF">
        <w:rPr>
          <w:i/>
        </w:rPr>
        <w:t>gas day</w:t>
      </w:r>
      <w:r>
        <w:t xml:space="preserve"> for each </w:t>
      </w:r>
      <w:r w:rsidRPr="00DB2BFF">
        <w:rPr>
          <w:i/>
        </w:rPr>
        <w:t>Market Participant</w:t>
      </w:r>
      <w:r>
        <w:t xml:space="preserve">, the hourly </w:t>
      </w:r>
      <w:r w:rsidRPr="00DB2BFF">
        <w:rPr>
          <w:i/>
        </w:rPr>
        <w:t>deviation</w:t>
      </w:r>
      <w:r>
        <w:t xml:space="preserve"> attributable to that </w:t>
      </w:r>
      <w:r w:rsidRPr="00DB2BFF">
        <w:rPr>
          <w:i/>
        </w:rPr>
        <w:t>Market Participant</w:t>
      </w:r>
      <w:r>
        <w:t xml:space="preserve"> is the </w:t>
      </w:r>
      <w:r w:rsidRPr="00DB2BFF">
        <w:rPr>
          <w:i/>
        </w:rPr>
        <w:t>actual imbalance</w:t>
      </w:r>
      <w:r>
        <w:t xml:space="preserve"> quantity for that </w:t>
      </w:r>
      <w:r w:rsidRPr="00DB2BFF">
        <w:rPr>
          <w:i/>
        </w:rPr>
        <w:t>Market Participant</w:t>
      </w:r>
      <w:r>
        <w:t xml:space="preserve"> in that hour less the </w:t>
      </w:r>
      <w:r w:rsidRPr="00DB2BFF">
        <w:rPr>
          <w:i/>
        </w:rPr>
        <w:t>scheduled imbalance</w:t>
      </w:r>
      <w:r>
        <w:t xml:space="preserve"> quantity for that </w:t>
      </w:r>
      <w:r w:rsidRPr="00DB2BFF">
        <w:rPr>
          <w:i/>
        </w:rPr>
        <w:t>Market Participant</w:t>
      </w:r>
      <w:r>
        <w:t xml:space="preserve"> in that hour. For the purposes of these Procedures, the hourly imbalance quantity for a </w:t>
      </w:r>
      <w:r w:rsidRPr="00DB2BFF">
        <w:rPr>
          <w:i/>
        </w:rPr>
        <w:t>Market Participant</w:t>
      </w:r>
      <w:r>
        <w:t xml:space="preserve"> is calculated as that </w:t>
      </w:r>
      <w:r w:rsidRPr="00DB2BFF">
        <w:rPr>
          <w:i/>
        </w:rPr>
        <w:t>Market Participant</w:t>
      </w:r>
      <w:r>
        <w:t xml:space="preserve">'s hourly operating </w:t>
      </w:r>
      <w:r w:rsidRPr="00DB2BFF">
        <w:rPr>
          <w:i/>
        </w:rPr>
        <w:t>scheduled injection</w:t>
      </w:r>
      <w:r>
        <w:t xml:space="preserve"> less the hourly </w:t>
      </w:r>
      <w:r w:rsidRPr="00DB2BFF">
        <w:rPr>
          <w:i/>
        </w:rPr>
        <w:t>operating scheduled withdrawal</w:t>
      </w:r>
      <w:r>
        <w:t xml:space="preserve">. </w:t>
      </w:r>
    </w:p>
    <w:p w14:paraId="2BC22E4E" w14:textId="58E29536" w:rsidR="005752D4" w:rsidRDefault="005752D4" w:rsidP="00182F62">
      <w:pPr>
        <w:pStyle w:val="ListContinue3"/>
        <w:ind w:left="1276"/>
      </w:pPr>
      <w:r>
        <w:t xml:space="preserve">The </w:t>
      </w:r>
      <w:r>
        <w:rPr>
          <w:i/>
        </w:rPr>
        <w:t>demand forecast</w:t>
      </w:r>
      <w:r>
        <w:t xml:space="preserve"> used to determine the </w:t>
      </w:r>
      <w:r>
        <w:rPr>
          <w:i/>
        </w:rPr>
        <w:t>scheduled imbalance</w:t>
      </w:r>
      <w:r>
        <w:t xml:space="preserve"> for that </w:t>
      </w:r>
      <w:r>
        <w:rPr>
          <w:i/>
        </w:rPr>
        <w:t>Market Participant</w:t>
      </w:r>
      <w:r>
        <w:t xml:space="preserve"> is the </w:t>
      </w:r>
      <w:r>
        <w:rPr>
          <w:i/>
        </w:rPr>
        <w:t>demand forecast</w:t>
      </w:r>
      <w:r>
        <w:t xml:space="preserve"> of that </w:t>
      </w:r>
      <w:r>
        <w:rPr>
          <w:i/>
        </w:rPr>
        <w:t>Market Participant</w:t>
      </w:r>
      <w:r>
        <w:t xml:space="preserve"> as adjusted in accordance with Chapter </w:t>
      </w:r>
      <w:r w:rsidR="00A31123">
        <w:rPr>
          <w:color w:val="2B579A"/>
          <w:shd w:val="clear" w:color="auto" w:fill="E6E6E6"/>
        </w:rPr>
        <w:fldChar w:fldCharType="begin"/>
      </w:r>
      <w:r w:rsidR="00A31123">
        <w:instrText xml:space="preserve"> REF _Ref54688985 \r \h </w:instrText>
      </w:r>
      <w:r w:rsidR="008972B0">
        <w:instrText xml:space="preserve"> \* MERGEFORMAT </w:instrText>
      </w:r>
      <w:r w:rsidR="00A31123">
        <w:rPr>
          <w:color w:val="2B579A"/>
          <w:shd w:val="clear" w:color="auto" w:fill="E6E6E6"/>
        </w:rPr>
      </w:r>
      <w:r w:rsidR="00A31123">
        <w:rPr>
          <w:color w:val="2B579A"/>
          <w:shd w:val="clear" w:color="auto" w:fill="E6E6E6"/>
        </w:rPr>
        <w:fldChar w:fldCharType="separate"/>
      </w:r>
      <w:r w:rsidR="00BA68AF">
        <w:t>3</w:t>
      </w:r>
      <w:r w:rsidR="00A31123">
        <w:rPr>
          <w:color w:val="2B579A"/>
          <w:shd w:val="clear" w:color="auto" w:fill="E6E6E6"/>
        </w:rPr>
        <w:fldChar w:fldCharType="end"/>
      </w:r>
      <w:r w:rsidR="00A31123">
        <w:t xml:space="preserve"> </w:t>
      </w:r>
      <w:r>
        <w:t xml:space="preserve">of these Procedures to take account of any positive </w:t>
      </w:r>
      <w:r>
        <w:rPr>
          <w:i/>
        </w:rPr>
        <w:t>demand forecast overrides</w:t>
      </w:r>
      <w:r>
        <w:t xml:space="preserve"> which may apply in that hour.</w:t>
      </w:r>
    </w:p>
    <w:p w14:paraId="1C344615" w14:textId="4AB2A0D0" w:rsidR="005752D4" w:rsidRDefault="005752D4" w:rsidP="00182F62">
      <w:pPr>
        <w:pStyle w:val="Lista"/>
      </w:pPr>
      <w:bookmarkStart w:id="66" w:name="_Ref57989616"/>
      <w:r>
        <w:t xml:space="preserve">The </w:t>
      </w:r>
      <w:r>
        <w:rPr>
          <w:i/>
        </w:rPr>
        <w:t>deviation</w:t>
      </w:r>
      <w:r>
        <w:t xml:space="preserve"> for a </w:t>
      </w:r>
      <w:r>
        <w:rPr>
          <w:i/>
        </w:rPr>
        <w:t>Market Participant</w:t>
      </w:r>
      <w:r>
        <w:t xml:space="preserve"> for a </w:t>
      </w:r>
      <w:r>
        <w:rPr>
          <w:i/>
        </w:rPr>
        <w:t>scheduling interval</w:t>
      </w:r>
      <w:r>
        <w:t xml:space="preserve"> is the aggregate of the positive and negative hourly </w:t>
      </w:r>
      <w:r>
        <w:rPr>
          <w:i/>
        </w:rPr>
        <w:t>deviation</w:t>
      </w:r>
      <w:r>
        <w:t xml:space="preserve">s for that </w:t>
      </w:r>
      <w:r>
        <w:rPr>
          <w:i/>
        </w:rPr>
        <w:t>Market Participant</w:t>
      </w:r>
      <w:r>
        <w:t xml:space="preserve"> for all hours of that </w:t>
      </w:r>
      <w:r>
        <w:rPr>
          <w:i/>
        </w:rPr>
        <w:t>scheduling interval</w:t>
      </w:r>
      <w:r>
        <w:t xml:space="preserve">, determined by AEMO pursuant to clause </w:t>
      </w:r>
      <w:r w:rsidR="0059329B">
        <w:rPr>
          <w:color w:val="2B579A"/>
          <w:shd w:val="clear" w:color="auto" w:fill="E6E6E6"/>
        </w:rPr>
        <w:fldChar w:fldCharType="begin"/>
      </w:r>
      <w:r w:rsidR="0059329B">
        <w:instrText xml:space="preserve"> REF _Ref54622622 \r \h </w:instrText>
      </w:r>
      <w:r w:rsidR="008972B0">
        <w:instrText xml:space="preserve"> \* MERGEFORMAT </w:instrText>
      </w:r>
      <w:r w:rsidR="0059329B">
        <w:rPr>
          <w:color w:val="2B579A"/>
          <w:shd w:val="clear" w:color="auto" w:fill="E6E6E6"/>
        </w:rPr>
      </w:r>
      <w:r w:rsidR="0059329B">
        <w:rPr>
          <w:color w:val="2B579A"/>
          <w:shd w:val="clear" w:color="auto" w:fill="E6E6E6"/>
        </w:rPr>
        <w:fldChar w:fldCharType="separate"/>
      </w:r>
      <w:r w:rsidR="00BA68AF">
        <w:t>7.3.1</w:t>
      </w:r>
      <w:r w:rsidR="0059329B">
        <w:rPr>
          <w:color w:val="2B579A"/>
          <w:shd w:val="clear" w:color="auto" w:fill="E6E6E6"/>
        </w:rPr>
        <w:fldChar w:fldCharType="end"/>
      </w:r>
      <w:r>
        <w:t xml:space="preserve"> using the </w:t>
      </w:r>
      <w:r>
        <w:rPr>
          <w:i/>
        </w:rPr>
        <w:t>actual imbalance</w:t>
      </w:r>
      <w:r>
        <w:t xml:space="preserve"> quantity and the last </w:t>
      </w:r>
      <w:r>
        <w:rPr>
          <w:i/>
        </w:rPr>
        <w:t>operating schedule published</w:t>
      </w:r>
      <w:r>
        <w:t xml:space="preserve"> on that </w:t>
      </w:r>
      <w:r>
        <w:rPr>
          <w:i/>
        </w:rPr>
        <w:t>gas day</w:t>
      </w:r>
      <w:r>
        <w:t xml:space="preserve"> to determine that </w:t>
      </w:r>
      <w:r>
        <w:rPr>
          <w:i/>
        </w:rPr>
        <w:t>Market Participant</w:t>
      </w:r>
      <w:r>
        <w:t xml:space="preserve">'s </w:t>
      </w:r>
      <w:r>
        <w:rPr>
          <w:i/>
        </w:rPr>
        <w:t>scheduled imbalances</w:t>
      </w:r>
      <w:r>
        <w:t>.</w:t>
      </w:r>
      <w:bookmarkEnd w:id="66"/>
      <w:r>
        <w:t xml:space="preserve"> </w:t>
      </w:r>
    </w:p>
    <w:p w14:paraId="4020AFB9" w14:textId="6A572528" w:rsidR="005752D4" w:rsidRDefault="005752D4" w:rsidP="00C30819">
      <w:pPr>
        <w:pStyle w:val="Lista"/>
      </w:pPr>
      <w:r>
        <w:t xml:space="preserve">The </w:t>
      </w:r>
      <w:bookmarkStart w:id="67" w:name="_Ref54622103"/>
      <w:r w:rsidR="004F6FCF" w:rsidRPr="004F6FCF">
        <w:rPr>
          <w:i/>
          <w:iCs/>
        </w:rPr>
        <w:t xml:space="preserve">scheduled </w:t>
      </w:r>
      <w:r w:rsidR="008D443A" w:rsidRPr="004F6FCF">
        <w:rPr>
          <w:i/>
          <w:iCs/>
        </w:rPr>
        <w:t>interval hourly deviation</w:t>
      </w:r>
      <w:r w:rsidR="008D443A">
        <w:t xml:space="preserve"> (SIHDQ)</w:t>
      </w:r>
      <w:bookmarkEnd w:id="67"/>
      <w:r>
        <w:t xml:space="preserve">for a </w:t>
      </w:r>
      <w:r w:rsidRPr="008D443A">
        <w:rPr>
          <w:i/>
        </w:rPr>
        <w:t>Market Participant</w:t>
      </w:r>
      <w:r>
        <w:t xml:space="preserve"> for each </w:t>
      </w:r>
      <w:r w:rsidRPr="008D443A">
        <w:rPr>
          <w:i/>
        </w:rPr>
        <w:t>scheduling interval</w:t>
      </w:r>
      <w:r>
        <w:t xml:space="preserve"> is the aggregate of the negative hourly </w:t>
      </w:r>
      <w:r w:rsidRPr="008D443A">
        <w:rPr>
          <w:i/>
        </w:rPr>
        <w:t>deviation</w:t>
      </w:r>
      <w:r>
        <w:t xml:space="preserve"> quantities for that </w:t>
      </w:r>
      <w:r w:rsidRPr="008D443A">
        <w:rPr>
          <w:i/>
        </w:rPr>
        <w:t>Market Participant</w:t>
      </w:r>
      <w:r>
        <w:t xml:space="preserve"> for all hours in that </w:t>
      </w:r>
      <w:r w:rsidRPr="008D443A">
        <w:rPr>
          <w:i/>
        </w:rPr>
        <w:t>scheduling interval</w:t>
      </w:r>
      <w:r>
        <w:t xml:space="preserve">, determined in accordance with clause </w:t>
      </w:r>
      <w:r w:rsidR="00487B88">
        <w:rPr>
          <w:color w:val="2B579A"/>
          <w:shd w:val="clear" w:color="auto" w:fill="E6E6E6"/>
        </w:rPr>
        <w:fldChar w:fldCharType="begin"/>
      </w:r>
      <w:r w:rsidR="00487B88">
        <w:instrText xml:space="preserve"> REF _Ref54622622 \r \h </w:instrText>
      </w:r>
      <w:r w:rsidR="00487B88">
        <w:rPr>
          <w:color w:val="2B579A"/>
          <w:shd w:val="clear" w:color="auto" w:fill="E6E6E6"/>
        </w:rPr>
      </w:r>
      <w:r w:rsidR="00487B88">
        <w:rPr>
          <w:color w:val="2B579A"/>
          <w:shd w:val="clear" w:color="auto" w:fill="E6E6E6"/>
        </w:rPr>
        <w:fldChar w:fldCharType="separate"/>
      </w:r>
      <w:r w:rsidR="00BA68AF">
        <w:t>7.3.1</w:t>
      </w:r>
      <w:r w:rsidR="00487B88">
        <w:rPr>
          <w:color w:val="2B579A"/>
          <w:shd w:val="clear" w:color="auto" w:fill="E6E6E6"/>
        </w:rPr>
        <w:fldChar w:fldCharType="end"/>
      </w:r>
      <w:r>
        <w:t xml:space="preserve"> and using the </w:t>
      </w:r>
      <w:r w:rsidRPr="008D443A">
        <w:rPr>
          <w:i/>
        </w:rPr>
        <w:t>actual imbalance</w:t>
      </w:r>
      <w:r>
        <w:t xml:space="preserve"> quantity and the last </w:t>
      </w:r>
      <w:r w:rsidRPr="008D443A">
        <w:rPr>
          <w:i/>
        </w:rPr>
        <w:t>operating schedule published</w:t>
      </w:r>
      <w:r>
        <w:t xml:space="preserve"> on that </w:t>
      </w:r>
      <w:r w:rsidRPr="008D443A">
        <w:rPr>
          <w:i/>
        </w:rPr>
        <w:t>gas day</w:t>
      </w:r>
      <w:r>
        <w:t xml:space="preserve"> for that day to determine </w:t>
      </w:r>
      <w:r w:rsidRPr="008D443A">
        <w:rPr>
          <w:i/>
        </w:rPr>
        <w:t>scheduled imbalances</w:t>
      </w:r>
      <w:r>
        <w:t xml:space="preserve">. </w:t>
      </w:r>
    </w:p>
    <w:p w14:paraId="0A802BC7" w14:textId="5677E951" w:rsidR="005752D4" w:rsidRDefault="005752D4" w:rsidP="00AA779B">
      <w:pPr>
        <w:pStyle w:val="Lista"/>
      </w:pPr>
      <w:bookmarkStart w:id="68" w:name="_Ref57199708"/>
      <w:r>
        <w:t xml:space="preserve">If an </w:t>
      </w:r>
      <w:r w:rsidRPr="00A741FE">
        <w:t>ad hoc operating schedule</w:t>
      </w:r>
      <w:r>
        <w:t xml:space="preserve"> is </w:t>
      </w:r>
      <w:r w:rsidRPr="00A741FE">
        <w:t>published</w:t>
      </w:r>
      <w:r>
        <w:t xml:space="preserve"> by AEMO, AEMO must determine the change in constrained on injection quantities resulting from that ad hoc </w:t>
      </w:r>
      <w:r w:rsidRPr="00A741FE">
        <w:t>operating schedule</w:t>
      </w:r>
      <w:r>
        <w:t>.</w:t>
      </w:r>
      <w:bookmarkEnd w:id="68"/>
      <w:r>
        <w:t xml:space="preserve"> </w:t>
      </w:r>
    </w:p>
    <w:p w14:paraId="3B6DFA3E" w14:textId="2E2AC2E4" w:rsidR="005752D4" w:rsidRDefault="005752D4" w:rsidP="001B7CE7">
      <w:pPr>
        <w:pStyle w:val="Lista"/>
      </w:pPr>
      <w:bookmarkStart w:id="69" w:name="_Ref57199976"/>
      <w:r>
        <w:t xml:space="preserve">If an </w:t>
      </w:r>
      <w:r w:rsidRPr="00A32357">
        <w:rPr>
          <w:i/>
          <w:iCs/>
        </w:rPr>
        <w:t xml:space="preserve">ad hoc </w:t>
      </w:r>
      <w:r>
        <w:rPr>
          <w:i/>
        </w:rPr>
        <w:t>operating schedule</w:t>
      </w:r>
      <w:r>
        <w:t xml:space="preserve"> is published and the change in constrained on injection quantities determined by AEMO for that </w:t>
      </w:r>
      <w:r w:rsidRPr="00A32357">
        <w:rPr>
          <w:i/>
          <w:iCs/>
        </w:rPr>
        <w:t xml:space="preserve">ad hoc </w:t>
      </w:r>
      <w:r w:rsidR="00A32357" w:rsidRPr="00A32357">
        <w:rPr>
          <w:i/>
          <w:iCs/>
        </w:rPr>
        <w:t xml:space="preserve">operating </w:t>
      </w:r>
      <w:r w:rsidRPr="00A32357">
        <w:rPr>
          <w:i/>
          <w:iCs/>
        </w:rPr>
        <w:t>schedule</w:t>
      </w:r>
      <w:r>
        <w:t xml:space="preserve"> is positive, then the effective </w:t>
      </w:r>
      <w:r>
        <w:rPr>
          <w:i/>
        </w:rPr>
        <w:t>deviation</w:t>
      </w:r>
      <w:r>
        <w:t xml:space="preserve"> for a </w:t>
      </w:r>
      <w:r>
        <w:rPr>
          <w:i/>
        </w:rPr>
        <w:t>Market Participant</w:t>
      </w:r>
      <w:r>
        <w:t xml:space="preserve"> for that </w:t>
      </w:r>
      <w:r>
        <w:rPr>
          <w:i/>
        </w:rPr>
        <w:t>scheduling interval</w:t>
      </w:r>
      <w:r>
        <w:t xml:space="preserve"> is the SIHDQ determined in accordance with clause </w:t>
      </w:r>
      <w:r w:rsidR="00A32357">
        <w:rPr>
          <w:color w:val="2B579A"/>
          <w:shd w:val="clear" w:color="auto" w:fill="E6E6E6"/>
        </w:rPr>
        <w:fldChar w:fldCharType="begin"/>
      </w:r>
      <w:r w:rsidR="00A32357">
        <w:instrText xml:space="preserve"> REF _Ref54622103 \r \h </w:instrText>
      </w:r>
      <w:r w:rsidR="00A32357">
        <w:rPr>
          <w:color w:val="2B579A"/>
          <w:shd w:val="clear" w:color="auto" w:fill="E6E6E6"/>
        </w:rPr>
      </w:r>
      <w:r w:rsidR="00A32357">
        <w:rPr>
          <w:color w:val="2B579A"/>
          <w:shd w:val="clear" w:color="auto" w:fill="E6E6E6"/>
        </w:rPr>
        <w:fldChar w:fldCharType="separate"/>
      </w:r>
      <w:r w:rsidR="00BA68AF">
        <w:t>(c)</w:t>
      </w:r>
      <w:r w:rsidR="00A32357">
        <w:rPr>
          <w:color w:val="2B579A"/>
          <w:shd w:val="clear" w:color="auto" w:fill="E6E6E6"/>
        </w:rPr>
        <w:fldChar w:fldCharType="end"/>
      </w:r>
      <w:r>
        <w:t>.</w:t>
      </w:r>
      <w:bookmarkEnd w:id="69"/>
    </w:p>
    <w:p w14:paraId="0525E163" w14:textId="017A5C02" w:rsidR="005752D4" w:rsidRDefault="005752D4" w:rsidP="001B7CE7">
      <w:pPr>
        <w:pStyle w:val="ListContinue3"/>
        <w:ind w:left="1276"/>
      </w:pPr>
      <w:r>
        <w:t xml:space="preserve">Otherwise, the effective </w:t>
      </w:r>
      <w:r w:rsidRPr="001B7CE7">
        <w:t>deviation</w:t>
      </w:r>
      <w:r>
        <w:t xml:space="preserve"> for a </w:t>
      </w:r>
      <w:r w:rsidRPr="001B7CE7">
        <w:t>Market Participant</w:t>
      </w:r>
      <w:r>
        <w:t xml:space="preserve"> for that </w:t>
      </w:r>
      <w:r w:rsidRPr="001B7CE7">
        <w:t>scheduling interval</w:t>
      </w:r>
      <w:r>
        <w:t xml:space="preserve"> is the </w:t>
      </w:r>
      <w:r w:rsidRPr="001B7CE7">
        <w:t>deviation</w:t>
      </w:r>
      <w:r>
        <w:t xml:space="preserve"> determined in accordance with </w:t>
      </w:r>
      <w:r w:rsidR="00DF6D85">
        <w:t xml:space="preserve">clause </w:t>
      </w:r>
      <w:r w:rsidR="009965DF">
        <w:rPr>
          <w:color w:val="2B579A"/>
          <w:shd w:val="clear" w:color="auto" w:fill="E6E6E6"/>
        </w:rPr>
        <w:fldChar w:fldCharType="begin"/>
      </w:r>
      <w:r w:rsidR="009965DF">
        <w:instrText xml:space="preserve"> REF _Ref57989616 \n \h </w:instrText>
      </w:r>
      <w:r w:rsidR="009965DF">
        <w:rPr>
          <w:color w:val="2B579A"/>
          <w:shd w:val="clear" w:color="auto" w:fill="E6E6E6"/>
        </w:rPr>
      </w:r>
      <w:r w:rsidR="009965DF">
        <w:rPr>
          <w:color w:val="2B579A"/>
          <w:shd w:val="clear" w:color="auto" w:fill="E6E6E6"/>
        </w:rPr>
        <w:fldChar w:fldCharType="separate"/>
      </w:r>
      <w:r w:rsidR="00BA68AF">
        <w:t>(b)</w:t>
      </w:r>
      <w:r w:rsidR="009965DF">
        <w:rPr>
          <w:color w:val="2B579A"/>
          <w:shd w:val="clear" w:color="auto" w:fill="E6E6E6"/>
        </w:rPr>
        <w:fldChar w:fldCharType="end"/>
      </w:r>
      <w:r w:rsidR="009965DF">
        <w:t>.</w:t>
      </w:r>
      <w:r w:rsidR="00F7507D">
        <w:t xml:space="preserve">  </w:t>
      </w:r>
    </w:p>
    <w:p w14:paraId="6AE4D381" w14:textId="711EBBEB" w:rsidR="005752D4" w:rsidRDefault="005752D4" w:rsidP="001B7CE7">
      <w:pPr>
        <w:pStyle w:val="Lista"/>
      </w:pPr>
      <w:bookmarkStart w:id="70" w:name="_Ref57199961"/>
      <w:r>
        <w:t xml:space="preserve">An allocation factor is used by AEMO to allocate </w:t>
      </w:r>
      <w:r w:rsidR="00B067C5">
        <w:rPr>
          <w:i/>
        </w:rPr>
        <w:t xml:space="preserve">surprise </w:t>
      </w:r>
      <w:r w:rsidR="0042244B">
        <w:rPr>
          <w:i/>
        </w:rPr>
        <w:t>u</w:t>
      </w:r>
      <w:r>
        <w:rPr>
          <w:i/>
        </w:rPr>
        <w:t xml:space="preserve">plift </w:t>
      </w:r>
      <w:r>
        <w:t xml:space="preserve">attributable to any increase in constrained on injection quantities in a </w:t>
      </w:r>
      <w:r>
        <w:rPr>
          <w:i/>
        </w:rPr>
        <w:t>scheduling interval</w:t>
      </w:r>
      <w:r>
        <w:t xml:space="preserve"> following an </w:t>
      </w:r>
      <w:r w:rsidRPr="0042244B">
        <w:rPr>
          <w:i/>
          <w:iCs/>
        </w:rPr>
        <w:t>ad hoc o</w:t>
      </w:r>
      <w:r>
        <w:rPr>
          <w:i/>
        </w:rPr>
        <w:t>perating schedule</w:t>
      </w:r>
      <w:r>
        <w:t xml:space="preserve"> to </w:t>
      </w:r>
      <w:r w:rsidR="0042244B">
        <w:rPr>
          <w:i/>
        </w:rPr>
        <w:t>market participant</w:t>
      </w:r>
      <w:r w:rsidR="0042244B">
        <w:t xml:space="preserve">s </w:t>
      </w:r>
      <w:r>
        <w:t xml:space="preserve">who have a non-zero </w:t>
      </w:r>
      <w:r w:rsidRPr="00083532">
        <w:rPr>
          <w:i/>
          <w:iCs/>
        </w:rPr>
        <w:t>SIHDQ</w:t>
      </w:r>
      <w:r>
        <w:t xml:space="preserve"> for the </w:t>
      </w:r>
      <w:r>
        <w:rPr>
          <w:i/>
        </w:rPr>
        <w:t>scheduling interval</w:t>
      </w:r>
      <w:r>
        <w:t xml:space="preserve"> during which the </w:t>
      </w:r>
      <w:r w:rsidRPr="0042244B">
        <w:rPr>
          <w:i/>
          <w:iCs/>
        </w:rPr>
        <w:t xml:space="preserve">ad hoc operating schedule </w:t>
      </w:r>
      <w:r>
        <w:t>is published.</w:t>
      </w:r>
      <w:bookmarkEnd w:id="70"/>
      <w:r>
        <w:t xml:space="preserve"> </w:t>
      </w:r>
    </w:p>
    <w:p w14:paraId="30F9A770" w14:textId="77777777" w:rsidR="00FF0590" w:rsidRDefault="005752D4" w:rsidP="001B3231">
      <w:pPr>
        <w:pStyle w:val="BodyText"/>
        <w:ind w:left="1276"/>
      </w:pPr>
      <w:r>
        <w:lastRenderedPageBreak/>
        <w:t xml:space="preserve">The allocation factor for a </w:t>
      </w:r>
      <w:r>
        <w:rPr>
          <w:i/>
        </w:rPr>
        <w:t>scheduling interval</w:t>
      </w:r>
      <w:r>
        <w:t xml:space="preserve"> in respect of which an </w:t>
      </w:r>
      <w:r w:rsidRPr="0042244B">
        <w:rPr>
          <w:i/>
          <w:iCs/>
        </w:rPr>
        <w:t xml:space="preserve">ad hoc </w:t>
      </w:r>
      <w:r>
        <w:rPr>
          <w:i/>
        </w:rPr>
        <w:t>operating schedule</w:t>
      </w:r>
      <w:r>
        <w:t xml:space="preserve"> is </w:t>
      </w:r>
      <w:r>
        <w:rPr>
          <w:i/>
        </w:rPr>
        <w:t>published</w:t>
      </w:r>
      <w:r>
        <w:t xml:space="preserve"> is: </w:t>
      </w:r>
    </w:p>
    <w:p w14:paraId="6792FAA4" w14:textId="57F36F17" w:rsidR="005752D4" w:rsidRDefault="005752D4" w:rsidP="001B3231">
      <w:pPr>
        <w:pStyle w:val="BodyText"/>
        <w:ind w:left="1276"/>
      </w:pPr>
      <w:r>
        <w:t xml:space="preserve">the greater of: </w:t>
      </w:r>
    </w:p>
    <w:p w14:paraId="0CA64C4F" w14:textId="002D942C" w:rsidR="005752D4" w:rsidRPr="00555777" w:rsidRDefault="005752D4" w:rsidP="00555777">
      <w:pPr>
        <w:pStyle w:val="ListBullet"/>
        <w:ind w:left="1560"/>
      </w:pPr>
      <w:r>
        <w:t>minus one</w:t>
      </w:r>
      <w:r w:rsidRPr="00555777">
        <w:t xml:space="preserve"> multiplied by the increase in constrained on injection quantities within that scheduling interval, determined in accordance with clause</w:t>
      </w:r>
      <w:r w:rsidR="00054889">
        <w:t xml:space="preserve"> </w:t>
      </w:r>
      <w:r w:rsidR="006F1847">
        <w:rPr>
          <w:color w:val="2B579A"/>
          <w:shd w:val="clear" w:color="auto" w:fill="E6E6E6"/>
        </w:rPr>
        <w:fldChar w:fldCharType="begin"/>
      </w:r>
      <w:r w:rsidR="006F1847">
        <w:instrText xml:space="preserve"> REF _Ref57199708 \n \h </w:instrText>
      </w:r>
      <w:r w:rsidR="006F1847">
        <w:rPr>
          <w:color w:val="2B579A"/>
          <w:shd w:val="clear" w:color="auto" w:fill="E6E6E6"/>
        </w:rPr>
      </w:r>
      <w:r w:rsidR="006F1847">
        <w:rPr>
          <w:color w:val="2B579A"/>
          <w:shd w:val="clear" w:color="auto" w:fill="E6E6E6"/>
        </w:rPr>
        <w:fldChar w:fldCharType="separate"/>
      </w:r>
      <w:r w:rsidR="00BA68AF">
        <w:t>(d)</w:t>
      </w:r>
      <w:r w:rsidR="006F1847">
        <w:rPr>
          <w:color w:val="2B579A"/>
          <w:shd w:val="clear" w:color="auto" w:fill="E6E6E6"/>
        </w:rPr>
        <w:fldChar w:fldCharType="end"/>
      </w:r>
      <w:r w:rsidRPr="00555777">
        <w:t xml:space="preserve">; and </w:t>
      </w:r>
    </w:p>
    <w:p w14:paraId="62CA274C" w14:textId="77777777" w:rsidR="005752D4" w:rsidRPr="00555777" w:rsidRDefault="005752D4" w:rsidP="00555777">
      <w:pPr>
        <w:pStyle w:val="ListBullet"/>
        <w:ind w:left="1560"/>
      </w:pPr>
      <w:r w:rsidRPr="00555777">
        <w:t xml:space="preserve">the sum of all Market Participants' effective deviation within that scheduling interval for that operating schedule </w:t>
      </w:r>
    </w:p>
    <w:p w14:paraId="00527C15" w14:textId="77777777" w:rsidR="005752D4" w:rsidRPr="00555777" w:rsidRDefault="005752D4" w:rsidP="00555777">
      <w:pPr>
        <w:pStyle w:val="BodyText"/>
        <w:ind w:left="1277"/>
      </w:pPr>
      <w:r w:rsidRPr="00555777">
        <w:t xml:space="preserve">divided by  </w:t>
      </w:r>
    </w:p>
    <w:p w14:paraId="776EF390" w14:textId="77777777" w:rsidR="005752D4" w:rsidRDefault="005752D4" w:rsidP="00555777">
      <w:pPr>
        <w:pStyle w:val="ListBullet"/>
        <w:ind w:left="1560"/>
      </w:pPr>
      <w:r w:rsidRPr="00555777">
        <w:t>the sum of all Market Participants' effective deviation within that scheduling interval for that operating sched</w:t>
      </w:r>
      <w:r>
        <w:t xml:space="preserve">ule. </w:t>
      </w:r>
    </w:p>
    <w:p w14:paraId="1446416F" w14:textId="77777777" w:rsidR="005752D4" w:rsidRDefault="005752D4" w:rsidP="008C2C86">
      <w:pPr>
        <w:pStyle w:val="Lista"/>
      </w:pPr>
      <w:bookmarkStart w:id="71" w:name="_Ref57200217"/>
      <w:r>
        <w:t>The adjusted deviation for a Market Participant for each operating schedule is:</w:t>
      </w:r>
      <w:bookmarkEnd w:id="71"/>
      <w:r>
        <w:t xml:space="preserve"> </w:t>
      </w:r>
    </w:p>
    <w:p w14:paraId="66490B60" w14:textId="02366BBB" w:rsidR="005752D4" w:rsidRDefault="005752D4" w:rsidP="008C2C86">
      <w:pPr>
        <w:pStyle w:val="ListBullet"/>
        <w:ind w:left="1560"/>
      </w:pPr>
      <w:r>
        <w:t xml:space="preserve">the effective </w:t>
      </w:r>
      <w:r w:rsidRPr="00192DF4">
        <w:t>deviation</w:t>
      </w:r>
      <w:r>
        <w:t xml:space="preserve"> for that </w:t>
      </w:r>
      <w:r w:rsidRPr="00192DF4">
        <w:t>Market Participant</w:t>
      </w:r>
      <w:r>
        <w:t xml:space="preserve"> for the </w:t>
      </w:r>
      <w:r w:rsidRPr="00192DF4">
        <w:t>scheduling interval</w:t>
      </w:r>
      <w:r>
        <w:t xml:space="preserve"> immediately preceding the current </w:t>
      </w:r>
      <w:r w:rsidRPr="00192DF4">
        <w:t>scheduling interval</w:t>
      </w:r>
      <w:r>
        <w:t xml:space="preserve"> for that </w:t>
      </w:r>
      <w:r w:rsidRPr="00192DF4">
        <w:t>operating schedule</w:t>
      </w:r>
      <w:r>
        <w:t xml:space="preserve"> determined by AEMO in accordance with clause</w:t>
      </w:r>
      <w:r w:rsidR="009142B1">
        <w:t xml:space="preserve"> </w:t>
      </w:r>
      <w:r w:rsidR="00B7313A">
        <w:rPr>
          <w:color w:val="2B579A"/>
          <w:shd w:val="clear" w:color="auto" w:fill="E6E6E6"/>
        </w:rPr>
        <w:fldChar w:fldCharType="begin"/>
      </w:r>
      <w:r w:rsidR="00B7313A">
        <w:instrText xml:space="preserve"> REF _Ref57199976 \w \h </w:instrText>
      </w:r>
      <w:r w:rsidR="00B7313A">
        <w:rPr>
          <w:color w:val="2B579A"/>
          <w:shd w:val="clear" w:color="auto" w:fill="E6E6E6"/>
        </w:rPr>
      </w:r>
      <w:r w:rsidR="00B7313A">
        <w:rPr>
          <w:color w:val="2B579A"/>
          <w:shd w:val="clear" w:color="auto" w:fill="E6E6E6"/>
        </w:rPr>
        <w:fldChar w:fldCharType="separate"/>
      </w:r>
      <w:r w:rsidR="00BA68AF">
        <w:t>(e)</w:t>
      </w:r>
      <w:r w:rsidR="00B7313A">
        <w:rPr>
          <w:color w:val="2B579A"/>
          <w:shd w:val="clear" w:color="auto" w:fill="E6E6E6"/>
        </w:rPr>
        <w:fldChar w:fldCharType="end"/>
      </w:r>
      <w:r w:rsidR="001F7927">
        <w:t>.</w:t>
      </w:r>
      <w:r>
        <w:t xml:space="preserve"> </w:t>
      </w:r>
    </w:p>
    <w:p w14:paraId="1B4649BA" w14:textId="77777777" w:rsidR="005752D4" w:rsidRDefault="005752D4" w:rsidP="00894141">
      <w:pPr>
        <w:pStyle w:val="BodyText"/>
        <w:ind w:left="1277"/>
      </w:pPr>
      <w:r>
        <w:t xml:space="preserve">plus </w:t>
      </w:r>
    </w:p>
    <w:p w14:paraId="728734F7" w14:textId="7CF3B586" w:rsidR="005752D4" w:rsidRDefault="005752D4" w:rsidP="00894141">
      <w:pPr>
        <w:pStyle w:val="ListBullet"/>
        <w:ind w:left="1560"/>
      </w:pPr>
      <w:r>
        <w:t xml:space="preserve">the effective </w:t>
      </w:r>
      <w:r w:rsidRPr="00894141">
        <w:t>deviation</w:t>
      </w:r>
      <w:r>
        <w:t xml:space="preserve"> for that </w:t>
      </w:r>
      <w:r w:rsidRPr="00894141">
        <w:t>Market Participant</w:t>
      </w:r>
      <w:r>
        <w:t xml:space="preserve"> for the </w:t>
      </w:r>
      <w:r w:rsidRPr="00894141">
        <w:t>scheduling interval</w:t>
      </w:r>
      <w:r>
        <w:t xml:space="preserve"> for that schedule determined by AEMO in accordance with clause</w:t>
      </w:r>
      <w:r w:rsidR="002C4AEB">
        <w:t xml:space="preserve"> </w:t>
      </w:r>
      <w:r w:rsidR="007453D9">
        <w:rPr>
          <w:color w:val="2B579A"/>
          <w:shd w:val="clear" w:color="auto" w:fill="E6E6E6"/>
        </w:rPr>
        <w:fldChar w:fldCharType="begin"/>
      </w:r>
      <w:r w:rsidR="007453D9">
        <w:instrText xml:space="preserve"> REF _Ref57199976 \w \h </w:instrText>
      </w:r>
      <w:r w:rsidR="007453D9">
        <w:rPr>
          <w:color w:val="2B579A"/>
          <w:shd w:val="clear" w:color="auto" w:fill="E6E6E6"/>
        </w:rPr>
      </w:r>
      <w:r w:rsidR="007453D9">
        <w:rPr>
          <w:color w:val="2B579A"/>
          <w:shd w:val="clear" w:color="auto" w:fill="E6E6E6"/>
        </w:rPr>
        <w:fldChar w:fldCharType="separate"/>
      </w:r>
      <w:r w:rsidR="00BA68AF">
        <w:t>(e)</w:t>
      </w:r>
      <w:r w:rsidR="007453D9">
        <w:rPr>
          <w:color w:val="2B579A"/>
          <w:shd w:val="clear" w:color="auto" w:fill="E6E6E6"/>
        </w:rPr>
        <w:fldChar w:fldCharType="end"/>
      </w:r>
      <w:r>
        <w:t xml:space="preserve">, multiplied by any allocation factor applicable for that </w:t>
      </w:r>
      <w:r w:rsidRPr="00894141">
        <w:t>scheduling interval</w:t>
      </w:r>
      <w:r>
        <w:t xml:space="preserve"> determined by AEMO in accordance with clause </w:t>
      </w:r>
      <w:r w:rsidR="00F67212">
        <w:rPr>
          <w:color w:val="2B579A"/>
          <w:shd w:val="clear" w:color="auto" w:fill="E6E6E6"/>
        </w:rPr>
        <w:fldChar w:fldCharType="begin"/>
      </w:r>
      <w:r w:rsidR="00F67212">
        <w:instrText xml:space="preserve"> REF _Ref57199961 \w \h </w:instrText>
      </w:r>
      <w:r w:rsidR="00F67212">
        <w:rPr>
          <w:color w:val="2B579A"/>
          <w:shd w:val="clear" w:color="auto" w:fill="E6E6E6"/>
        </w:rPr>
      </w:r>
      <w:r w:rsidR="00F67212">
        <w:rPr>
          <w:color w:val="2B579A"/>
          <w:shd w:val="clear" w:color="auto" w:fill="E6E6E6"/>
        </w:rPr>
        <w:fldChar w:fldCharType="separate"/>
      </w:r>
      <w:r w:rsidR="00BA68AF">
        <w:t>(f)</w:t>
      </w:r>
      <w:r w:rsidR="00F67212">
        <w:rPr>
          <w:color w:val="2B579A"/>
          <w:shd w:val="clear" w:color="auto" w:fill="E6E6E6"/>
        </w:rPr>
        <w:fldChar w:fldCharType="end"/>
      </w:r>
      <w:r>
        <w:t xml:space="preserve">, less </w:t>
      </w:r>
    </w:p>
    <w:p w14:paraId="4807E41C" w14:textId="25838922" w:rsidR="005752D4" w:rsidRDefault="005752D4" w:rsidP="00894141">
      <w:pPr>
        <w:pStyle w:val="ListBullet"/>
        <w:ind w:left="1560"/>
      </w:pPr>
      <w:r>
        <w:t xml:space="preserve">the effective </w:t>
      </w:r>
      <w:r w:rsidRPr="00192DF4">
        <w:t>deviation</w:t>
      </w:r>
      <w:r>
        <w:t xml:space="preserve"> for that </w:t>
      </w:r>
      <w:r w:rsidRPr="00894141">
        <w:t>Market Participant</w:t>
      </w:r>
      <w:r>
        <w:t xml:space="preserve"> for the </w:t>
      </w:r>
      <w:r w:rsidRPr="00894141">
        <w:t>scheduling interval</w:t>
      </w:r>
      <w:r>
        <w:t xml:space="preserve"> immediately preceding that </w:t>
      </w:r>
      <w:r w:rsidRPr="00894141">
        <w:t>scheduling interval</w:t>
      </w:r>
      <w:r>
        <w:t xml:space="preserve"> for that schedule determined by AEMO in accordance with clause</w:t>
      </w:r>
      <w:r w:rsidR="00325A8C">
        <w:t xml:space="preserve"> </w:t>
      </w:r>
      <w:r w:rsidR="00325A8C">
        <w:rPr>
          <w:color w:val="2B579A"/>
          <w:shd w:val="clear" w:color="auto" w:fill="E6E6E6"/>
        </w:rPr>
        <w:fldChar w:fldCharType="begin"/>
      </w:r>
      <w:r w:rsidR="00325A8C">
        <w:instrText xml:space="preserve"> REF _Ref57199762 \w \h </w:instrText>
      </w:r>
      <w:r w:rsidR="00325A8C">
        <w:rPr>
          <w:color w:val="2B579A"/>
          <w:shd w:val="clear" w:color="auto" w:fill="E6E6E6"/>
        </w:rPr>
      </w:r>
      <w:r w:rsidR="00325A8C">
        <w:rPr>
          <w:color w:val="2B579A"/>
          <w:shd w:val="clear" w:color="auto" w:fill="E6E6E6"/>
        </w:rPr>
        <w:fldChar w:fldCharType="separate"/>
      </w:r>
      <w:r w:rsidR="00BA68AF">
        <w:t>7.3.1</w:t>
      </w:r>
      <w:r w:rsidR="00325A8C">
        <w:rPr>
          <w:color w:val="2B579A"/>
          <w:shd w:val="clear" w:color="auto" w:fill="E6E6E6"/>
        </w:rPr>
        <w:fldChar w:fldCharType="end"/>
      </w:r>
      <w:r w:rsidR="00E834A8">
        <w:rPr>
          <w:color w:val="2B579A"/>
          <w:shd w:val="clear" w:color="auto" w:fill="E6E6E6"/>
        </w:rPr>
        <w:fldChar w:fldCharType="begin"/>
      </w:r>
      <w:r w:rsidR="00E834A8">
        <w:instrText xml:space="preserve"> REF _Ref57199976 \w \h </w:instrText>
      </w:r>
      <w:r w:rsidR="00E834A8">
        <w:rPr>
          <w:color w:val="2B579A"/>
          <w:shd w:val="clear" w:color="auto" w:fill="E6E6E6"/>
        </w:rPr>
      </w:r>
      <w:r w:rsidR="00E834A8">
        <w:rPr>
          <w:color w:val="2B579A"/>
          <w:shd w:val="clear" w:color="auto" w:fill="E6E6E6"/>
        </w:rPr>
        <w:fldChar w:fldCharType="separate"/>
      </w:r>
      <w:r w:rsidR="00BA68AF">
        <w:t>(e)</w:t>
      </w:r>
      <w:r w:rsidR="00E834A8">
        <w:rPr>
          <w:color w:val="2B579A"/>
          <w:shd w:val="clear" w:color="auto" w:fill="E6E6E6"/>
        </w:rPr>
        <w:fldChar w:fldCharType="end"/>
      </w:r>
      <w:r>
        <w:t xml:space="preserve">, multiplied by any allocation factor applicable for the </w:t>
      </w:r>
      <w:r w:rsidRPr="00894141">
        <w:t>scheduling interval</w:t>
      </w:r>
      <w:r>
        <w:t xml:space="preserve"> immediately preceding the current </w:t>
      </w:r>
      <w:r w:rsidRPr="00894141">
        <w:t>scheduling interval</w:t>
      </w:r>
      <w:r>
        <w:t xml:space="preserve"> for that </w:t>
      </w:r>
      <w:r w:rsidRPr="00894141">
        <w:t>operating schedule</w:t>
      </w:r>
      <w:r>
        <w:t xml:space="preserve"> determined by AEMO in accordance with clause </w:t>
      </w:r>
      <w:r w:rsidR="00E834A8">
        <w:rPr>
          <w:color w:val="2B579A"/>
          <w:shd w:val="clear" w:color="auto" w:fill="E6E6E6"/>
        </w:rPr>
        <w:fldChar w:fldCharType="begin"/>
      </w:r>
      <w:r w:rsidR="00E834A8">
        <w:instrText xml:space="preserve"> REF _Ref57199961 \w \h </w:instrText>
      </w:r>
      <w:r w:rsidR="00E834A8">
        <w:rPr>
          <w:color w:val="2B579A"/>
          <w:shd w:val="clear" w:color="auto" w:fill="E6E6E6"/>
        </w:rPr>
      </w:r>
      <w:r w:rsidR="00E834A8">
        <w:rPr>
          <w:color w:val="2B579A"/>
          <w:shd w:val="clear" w:color="auto" w:fill="E6E6E6"/>
        </w:rPr>
        <w:fldChar w:fldCharType="separate"/>
      </w:r>
      <w:r w:rsidR="00BA68AF">
        <w:t>(f)</w:t>
      </w:r>
      <w:r w:rsidR="00E834A8">
        <w:rPr>
          <w:color w:val="2B579A"/>
          <w:shd w:val="clear" w:color="auto" w:fill="E6E6E6"/>
        </w:rPr>
        <w:fldChar w:fldCharType="end"/>
      </w:r>
      <w:r>
        <w:t xml:space="preserve">.   </w:t>
      </w:r>
    </w:p>
    <w:p w14:paraId="71C6F417" w14:textId="090AEE4C" w:rsidR="005752D4" w:rsidRDefault="005752D4" w:rsidP="00A11E25">
      <w:pPr>
        <w:pStyle w:val="Heading3"/>
      </w:pPr>
      <w:bookmarkStart w:id="72" w:name="_Toc39571795"/>
      <w:r>
        <w:tab/>
      </w:r>
      <w:bookmarkStart w:id="73" w:name="_Ref54623607"/>
      <w:r>
        <w:t>Surprise uplift quantity for a Market Participant</w:t>
      </w:r>
      <w:bookmarkEnd w:id="72"/>
      <w:bookmarkEnd w:id="73"/>
    </w:p>
    <w:p w14:paraId="03649050" w14:textId="77777777" w:rsidR="00AA5A5E" w:rsidRPr="00AA5A5E" w:rsidRDefault="00AA5A5E" w:rsidP="00AA5A5E">
      <w:pPr>
        <w:pStyle w:val="ResetPara"/>
      </w:pPr>
    </w:p>
    <w:p w14:paraId="788F0219" w14:textId="77777777" w:rsidR="005752D4" w:rsidRDefault="005752D4" w:rsidP="00640C17">
      <w:pPr>
        <w:pStyle w:val="BodyText"/>
      </w:pPr>
      <w:r>
        <w:t xml:space="preserve">The </w:t>
      </w:r>
      <w:r w:rsidRPr="00BC7648">
        <w:rPr>
          <w:i/>
        </w:rPr>
        <w:t>surprise uplift quantity</w:t>
      </w:r>
      <w:r>
        <w:t xml:space="preserve"> for a </w:t>
      </w:r>
      <w:r w:rsidRPr="00BC7648">
        <w:rPr>
          <w:i/>
          <w:iCs/>
        </w:rPr>
        <w:t>Market Participant</w:t>
      </w:r>
      <w:r>
        <w:t xml:space="preserve"> for each </w:t>
      </w:r>
      <w:r w:rsidRPr="00BC7648">
        <w:rPr>
          <w:i/>
          <w:iCs/>
        </w:rPr>
        <w:t>operating schedule</w:t>
      </w:r>
      <w:r>
        <w:t xml:space="preserve"> is: </w:t>
      </w:r>
    </w:p>
    <w:p w14:paraId="6A696510" w14:textId="146190F5" w:rsidR="00640C17" w:rsidRDefault="005752D4" w:rsidP="001372E6">
      <w:pPr>
        <w:pStyle w:val="ParaNum1"/>
        <w:numPr>
          <w:ilvl w:val="3"/>
          <w:numId w:val="19"/>
        </w:numPr>
      </w:pPr>
      <w:r>
        <w:t xml:space="preserve">for the first </w:t>
      </w:r>
      <w:r w:rsidRPr="00BC7648">
        <w:rPr>
          <w:i/>
          <w:iCs/>
        </w:rPr>
        <w:t>operating schedule</w:t>
      </w:r>
      <w:r>
        <w:t xml:space="preserve"> of a </w:t>
      </w:r>
      <w:r w:rsidRPr="00BC7648">
        <w:rPr>
          <w:i/>
          <w:iCs/>
        </w:rPr>
        <w:t>gas day</w:t>
      </w:r>
      <w:r w:rsidR="00E43C8F">
        <w:t>:</w:t>
      </w:r>
    </w:p>
    <w:p w14:paraId="21508114" w14:textId="16107992" w:rsidR="005752D4" w:rsidRDefault="005752D4" w:rsidP="002D58F7">
      <w:pPr>
        <w:pStyle w:val="ListBullet2"/>
      </w:pPr>
      <w:r>
        <w:t>minus one multiplied by the adjusted deviation determined in accordance with clause</w:t>
      </w:r>
      <w:r w:rsidR="00BE0E22">
        <w:t xml:space="preserve"> </w:t>
      </w:r>
      <w:r w:rsidR="00FB4B7F">
        <w:rPr>
          <w:color w:val="2B579A"/>
          <w:shd w:val="clear" w:color="auto" w:fill="E6E6E6"/>
        </w:rPr>
        <w:fldChar w:fldCharType="begin"/>
      </w:r>
      <w:r w:rsidR="00FB4B7F">
        <w:instrText xml:space="preserve"> REF _Ref57199762 \w \h </w:instrText>
      </w:r>
      <w:r w:rsidR="00FB4B7F">
        <w:rPr>
          <w:color w:val="2B579A"/>
          <w:shd w:val="clear" w:color="auto" w:fill="E6E6E6"/>
        </w:rPr>
      </w:r>
      <w:r w:rsidR="00FB4B7F">
        <w:rPr>
          <w:color w:val="2B579A"/>
          <w:shd w:val="clear" w:color="auto" w:fill="E6E6E6"/>
        </w:rPr>
        <w:fldChar w:fldCharType="separate"/>
      </w:r>
      <w:r w:rsidR="00BA68AF">
        <w:t>7.3.1</w:t>
      </w:r>
      <w:r w:rsidR="00FB4B7F">
        <w:rPr>
          <w:color w:val="2B579A"/>
          <w:shd w:val="clear" w:color="auto" w:fill="E6E6E6"/>
        </w:rPr>
        <w:fldChar w:fldCharType="end"/>
      </w:r>
      <w:r w:rsidR="00FB4B7F">
        <w:rPr>
          <w:color w:val="2B579A"/>
          <w:shd w:val="clear" w:color="auto" w:fill="E6E6E6"/>
        </w:rPr>
        <w:fldChar w:fldCharType="begin"/>
      </w:r>
      <w:r w:rsidR="00FB4B7F">
        <w:instrText xml:space="preserve"> REF _Ref57200217 \w \h </w:instrText>
      </w:r>
      <w:r w:rsidR="00FB4B7F">
        <w:rPr>
          <w:color w:val="2B579A"/>
          <w:shd w:val="clear" w:color="auto" w:fill="E6E6E6"/>
        </w:rPr>
      </w:r>
      <w:r w:rsidR="00FB4B7F">
        <w:rPr>
          <w:color w:val="2B579A"/>
          <w:shd w:val="clear" w:color="auto" w:fill="E6E6E6"/>
        </w:rPr>
        <w:fldChar w:fldCharType="separate"/>
      </w:r>
      <w:r w:rsidR="00BA68AF">
        <w:t>(g)</w:t>
      </w:r>
      <w:r w:rsidR="00FB4B7F">
        <w:rPr>
          <w:color w:val="2B579A"/>
          <w:shd w:val="clear" w:color="auto" w:fill="E6E6E6"/>
        </w:rPr>
        <w:fldChar w:fldCharType="end"/>
      </w:r>
      <w:r>
        <w:t xml:space="preserve">. </w:t>
      </w:r>
    </w:p>
    <w:p w14:paraId="2874A9D1" w14:textId="65D26C29" w:rsidR="005752D4" w:rsidRDefault="005752D4" w:rsidP="001372E6">
      <w:pPr>
        <w:pStyle w:val="ParaNum1"/>
        <w:numPr>
          <w:ilvl w:val="3"/>
          <w:numId w:val="19"/>
        </w:numPr>
      </w:pPr>
      <w:r>
        <w:t xml:space="preserve">for the </w:t>
      </w:r>
      <w:r w:rsidR="004C7A83">
        <w:t>subsequent</w:t>
      </w:r>
      <w:r>
        <w:t xml:space="preserve"> </w:t>
      </w:r>
      <w:r w:rsidRPr="00BC7648">
        <w:rPr>
          <w:i/>
          <w:iCs/>
        </w:rPr>
        <w:t>operating schedules</w:t>
      </w:r>
      <w:r w:rsidR="00E43C8F">
        <w:t>:</w:t>
      </w:r>
    </w:p>
    <w:p w14:paraId="1EA390B1" w14:textId="5BBB80D2" w:rsidR="005752D4" w:rsidRDefault="005752D4" w:rsidP="002D58F7">
      <w:pPr>
        <w:pStyle w:val="ListBullet2"/>
      </w:pPr>
      <w:r>
        <w:t xml:space="preserve">the amount by which that </w:t>
      </w:r>
      <w:r w:rsidRPr="004C7A83">
        <w:rPr>
          <w:i/>
          <w:iCs/>
        </w:rPr>
        <w:t>Market Participant's</w:t>
      </w:r>
      <w:r>
        <w:t xml:space="preserve"> </w:t>
      </w:r>
      <w:r w:rsidRPr="004C7A83">
        <w:rPr>
          <w:i/>
          <w:iCs/>
        </w:rPr>
        <w:t>effective demand forecast</w:t>
      </w:r>
      <w:r>
        <w:t xml:space="preserve"> (determined under clause </w:t>
      </w:r>
      <w:r w:rsidR="00510A1E">
        <w:rPr>
          <w:color w:val="2B579A"/>
          <w:shd w:val="clear" w:color="auto" w:fill="E6E6E6"/>
        </w:rPr>
        <w:fldChar w:fldCharType="begin"/>
      </w:r>
      <w:r w:rsidR="00510A1E">
        <w:instrText xml:space="preserve"> REF _Ref54621866 \r \h </w:instrText>
      </w:r>
      <w:r w:rsidR="00510A1E">
        <w:rPr>
          <w:color w:val="2B579A"/>
          <w:shd w:val="clear" w:color="auto" w:fill="E6E6E6"/>
        </w:rPr>
      </w:r>
      <w:r w:rsidR="00510A1E">
        <w:rPr>
          <w:color w:val="2B579A"/>
          <w:shd w:val="clear" w:color="auto" w:fill="E6E6E6"/>
        </w:rPr>
        <w:fldChar w:fldCharType="separate"/>
      </w:r>
      <w:r w:rsidR="00BA68AF">
        <w:t>7.2.2</w:t>
      </w:r>
      <w:r w:rsidR="00510A1E">
        <w:rPr>
          <w:color w:val="2B579A"/>
          <w:shd w:val="clear" w:color="auto" w:fill="E6E6E6"/>
        </w:rPr>
        <w:fldChar w:fldCharType="end"/>
      </w:r>
      <w:r>
        <w:t xml:space="preserve">) has changed for the hours of the </w:t>
      </w:r>
      <w:r w:rsidRPr="004C7A83">
        <w:rPr>
          <w:i/>
          <w:iCs/>
        </w:rPr>
        <w:t xml:space="preserve">scheduling horizon </w:t>
      </w:r>
      <w:r>
        <w:t xml:space="preserve">of that </w:t>
      </w:r>
      <w:r w:rsidRPr="004C7A83">
        <w:rPr>
          <w:i/>
          <w:iCs/>
        </w:rPr>
        <w:t>schedule</w:t>
      </w:r>
      <w:r>
        <w:t xml:space="preserve"> over that </w:t>
      </w:r>
      <w:r w:rsidRPr="004C7A83">
        <w:rPr>
          <w:i/>
          <w:iCs/>
        </w:rPr>
        <w:t>Market Participant's effective demand forecast</w:t>
      </w:r>
      <w:r>
        <w:t xml:space="preserve"> of the same hours in the previous </w:t>
      </w:r>
      <w:r w:rsidRPr="004C7A83">
        <w:rPr>
          <w:i/>
          <w:iCs/>
        </w:rPr>
        <w:t>schedule</w:t>
      </w:r>
      <w:r>
        <w:t xml:space="preserve">. </w:t>
      </w:r>
    </w:p>
    <w:p w14:paraId="03F2A102" w14:textId="77777777" w:rsidR="005752D4" w:rsidRDefault="005752D4" w:rsidP="002D58F7">
      <w:pPr>
        <w:pStyle w:val="BodyText"/>
        <w:ind w:left="1276"/>
      </w:pPr>
      <w:r>
        <w:t xml:space="preserve">plus </w:t>
      </w:r>
    </w:p>
    <w:p w14:paraId="0E1780E1" w14:textId="77777777" w:rsidR="005752D4" w:rsidRDefault="005752D4" w:rsidP="002D58F7">
      <w:pPr>
        <w:pStyle w:val="ListBullet2"/>
      </w:pPr>
      <w:r>
        <w:t xml:space="preserve">the amount by which that </w:t>
      </w:r>
      <w:r w:rsidRPr="006C3A70">
        <w:rPr>
          <w:i/>
          <w:iCs/>
        </w:rPr>
        <w:t>Market Participant's</w:t>
      </w:r>
      <w:r>
        <w:t xml:space="preserve"> operating scheduled controllable withdrawals have changed for the hours of the </w:t>
      </w:r>
      <w:r w:rsidRPr="006C3A70">
        <w:rPr>
          <w:i/>
          <w:iCs/>
        </w:rPr>
        <w:t>scheduling horizon</w:t>
      </w:r>
      <w:r>
        <w:t xml:space="preserve"> of that </w:t>
      </w:r>
      <w:r w:rsidRPr="006C3A70">
        <w:rPr>
          <w:i/>
          <w:iCs/>
        </w:rPr>
        <w:t>schedule</w:t>
      </w:r>
      <w:r>
        <w:t xml:space="preserve"> over that </w:t>
      </w:r>
      <w:r w:rsidRPr="006C3A70">
        <w:rPr>
          <w:i/>
          <w:iCs/>
        </w:rPr>
        <w:t>Market Participant's</w:t>
      </w:r>
      <w:r>
        <w:t xml:space="preserve"> operating scheduled controllable withdrawals for the same hours in the previous </w:t>
      </w:r>
      <w:r w:rsidRPr="006C3A70">
        <w:rPr>
          <w:i/>
          <w:iCs/>
        </w:rPr>
        <w:t>schedule</w:t>
      </w:r>
      <w:r>
        <w:t xml:space="preserve"> </w:t>
      </w:r>
    </w:p>
    <w:p w14:paraId="36B7DF3A" w14:textId="77777777" w:rsidR="005752D4" w:rsidRDefault="005752D4" w:rsidP="002D58F7">
      <w:pPr>
        <w:pStyle w:val="BodyText"/>
        <w:ind w:left="1276"/>
      </w:pPr>
      <w:r>
        <w:t xml:space="preserve">minus </w:t>
      </w:r>
    </w:p>
    <w:p w14:paraId="46FB8358" w14:textId="6F49C2CC" w:rsidR="005752D4" w:rsidRDefault="005752D4" w:rsidP="002D58F7">
      <w:pPr>
        <w:pStyle w:val="ListBullet2"/>
      </w:pPr>
      <w:r>
        <w:t xml:space="preserve">the </w:t>
      </w:r>
      <w:r w:rsidRPr="006C3A70">
        <w:rPr>
          <w:i/>
          <w:iCs/>
        </w:rPr>
        <w:t>adjusted deviation</w:t>
      </w:r>
      <w:r>
        <w:t xml:space="preserve"> for that </w:t>
      </w:r>
      <w:r w:rsidRPr="006C3A70">
        <w:rPr>
          <w:i/>
          <w:iCs/>
        </w:rPr>
        <w:t xml:space="preserve">Market Participant </w:t>
      </w:r>
      <w:r>
        <w:t xml:space="preserve">for that </w:t>
      </w:r>
      <w:r w:rsidRPr="006C3A70">
        <w:rPr>
          <w:i/>
          <w:iCs/>
        </w:rPr>
        <w:t>schedule</w:t>
      </w:r>
      <w:r>
        <w:t xml:space="preserve"> determined in accordance with clause</w:t>
      </w:r>
      <w:r w:rsidR="00861542">
        <w:t xml:space="preserve"> </w:t>
      </w:r>
      <w:r w:rsidR="00861542">
        <w:rPr>
          <w:color w:val="2B579A"/>
          <w:shd w:val="clear" w:color="auto" w:fill="E6E6E6"/>
        </w:rPr>
        <w:fldChar w:fldCharType="begin"/>
      </w:r>
      <w:r w:rsidR="00861542">
        <w:instrText xml:space="preserve"> REF _Ref57199762 \w \h </w:instrText>
      </w:r>
      <w:r w:rsidR="00861542">
        <w:rPr>
          <w:color w:val="2B579A"/>
          <w:shd w:val="clear" w:color="auto" w:fill="E6E6E6"/>
        </w:rPr>
      </w:r>
      <w:r w:rsidR="00861542">
        <w:rPr>
          <w:color w:val="2B579A"/>
          <w:shd w:val="clear" w:color="auto" w:fill="E6E6E6"/>
        </w:rPr>
        <w:fldChar w:fldCharType="separate"/>
      </w:r>
      <w:r w:rsidR="00BA68AF">
        <w:t>7.3.1</w:t>
      </w:r>
      <w:r w:rsidR="00861542">
        <w:rPr>
          <w:color w:val="2B579A"/>
          <w:shd w:val="clear" w:color="auto" w:fill="E6E6E6"/>
        </w:rPr>
        <w:fldChar w:fldCharType="end"/>
      </w:r>
      <w:r w:rsidR="00861542">
        <w:rPr>
          <w:color w:val="2B579A"/>
          <w:shd w:val="clear" w:color="auto" w:fill="E6E6E6"/>
        </w:rPr>
        <w:fldChar w:fldCharType="begin"/>
      </w:r>
      <w:r w:rsidR="00861542">
        <w:instrText xml:space="preserve"> REF _Ref57200217 \w \h </w:instrText>
      </w:r>
      <w:r w:rsidR="00861542">
        <w:rPr>
          <w:color w:val="2B579A"/>
          <w:shd w:val="clear" w:color="auto" w:fill="E6E6E6"/>
        </w:rPr>
      </w:r>
      <w:r w:rsidR="00861542">
        <w:rPr>
          <w:color w:val="2B579A"/>
          <w:shd w:val="clear" w:color="auto" w:fill="E6E6E6"/>
        </w:rPr>
        <w:fldChar w:fldCharType="separate"/>
      </w:r>
      <w:r w:rsidR="00BA68AF">
        <w:t>(g)</w:t>
      </w:r>
      <w:r w:rsidR="00861542">
        <w:rPr>
          <w:color w:val="2B579A"/>
          <w:shd w:val="clear" w:color="auto" w:fill="E6E6E6"/>
        </w:rPr>
        <w:fldChar w:fldCharType="end"/>
      </w:r>
      <w:r>
        <w:t xml:space="preserve">. </w:t>
      </w:r>
    </w:p>
    <w:p w14:paraId="5FD71AC9" w14:textId="77777777" w:rsidR="00E43C8F" w:rsidRDefault="00E43C8F" w:rsidP="005752D4">
      <w:pPr>
        <w:spacing w:after="8"/>
        <w:ind w:left="710" w:right="14"/>
      </w:pPr>
    </w:p>
    <w:p w14:paraId="39EAA78D" w14:textId="2147F036" w:rsidR="005752D4" w:rsidRDefault="005752D4" w:rsidP="001372E6">
      <w:pPr>
        <w:pStyle w:val="ParaNum1"/>
        <w:numPr>
          <w:ilvl w:val="3"/>
          <w:numId w:val="19"/>
        </w:numPr>
      </w:pPr>
      <w:r>
        <w:lastRenderedPageBreak/>
        <w:t xml:space="preserve">If this calculation results in: </w:t>
      </w:r>
    </w:p>
    <w:p w14:paraId="51F7DC8F" w14:textId="156E12D8" w:rsidR="005752D4" w:rsidRDefault="005752D4" w:rsidP="003D444B">
      <w:pPr>
        <w:pStyle w:val="ParaNum2"/>
      </w:pPr>
      <w:r>
        <w:t xml:space="preserve">a positive </w:t>
      </w:r>
      <w:r w:rsidRPr="006C3A70">
        <w:rPr>
          <w:i/>
          <w:iCs/>
        </w:rPr>
        <w:t>amount</w:t>
      </w:r>
      <w:r>
        <w:t xml:space="preserve">, this may result in that </w:t>
      </w:r>
      <w:r w:rsidR="002D58F7" w:rsidRPr="002D58F7">
        <w:rPr>
          <w:i/>
          <w:iCs/>
        </w:rPr>
        <w:t xml:space="preserve">Market </w:t>
      </w:r>
      <w:r w:rsidR="00FB30BB" w:rsidRPr="002D58F7">
        <w:rPr>
          <w:i/>
          <w:iCs/>
        </w:rPr>
        <w:t>Participant</w:t>
      </w:r>
      <w:r w:rsidR="002D58F7" w:rsidRPr="002D58F7">
        <w:rPr>
          <w:i/>
          <w:iCs/>
        </w:rPr>
        <w:t xml:space="preserve"> </w:t>
      </w:r>
      <w:r>
        <w:t xml:space="preserve">having to pay </w:t>
      </w:r>
      <w:r w:rsidR="008E04B5">
        <w:rPr>
          <w:i/>
          <w:iCs/>
        </w:rPr>
        <w:t xml:space="preserve">surprise </w:t>
      </w:r>
      <w:r w:rsidRPr="00631996">
        <w:rPr>
          <w:i/>
          <w:iCs/>
        </w:rPr>
        <w:t xml:space="preserve">uplift </w:t>
      </w:r>
      <w:r w:rsidR="008E04B5">
        <w:t xml:space="preserve">payments </w:t>
      </w:r>
      <w:r>
        <w:t>to AEMO for that</w:t>
      </w:r>
      <w:r w:rsidRPr="00631996">
        <w:rPr>
          <w:i/>
          <w:iCs/>
        </w:rPr>
        <w:t xml:space="preserve"> scheduling interval</w:t>
      </w:r>
      <w:r>
        <w:t xml:space="preserve"> in that </w:t>
      </w:r>
      <w:r w:rsidRPr="00631996">
        <w:rPr>
          <w:i/>
          <w:iCs/>
        </w:rPr>
        <w:t>operating schedule</w:t>
      </w:r>
      <w:r>
        <w:t xml:space="preserve">; and </w:t>
      </w:r>
    </w:p>
    <w:p w14:paraId="2CD549F8" w14:textId="01B58BA8" w:rsidR="005752D4" w:rsidRDefault="005752D4" w:rsidP="003D444B">
      <w:pPr>
        <w:pStyle w:val="ParaNum2"/>
      </w:pPr>
      <w:r>
        <w:t xml:space="preserve">a negative </w:t>
      </w:r>
      <w:r w:rsidRPr="006C3A70">
        <w:rPr>
          <w:i/>
          <w:iCs/>
        </w:rPr>
        <w:t>amount</w:t>
      </w:r>
      <w:r>
        <w:t xml:space="preserve">, this may result in that </w:t>
      </w:r>
      <w:r w:rsidR="002D58F7" w:rsidRPr="002D58F7">
        <w:rPr>
          <w:i/>
          <w:iCs/>
        </w:rPr>
        <w:t xml:space="preserve">Market </w:t>
      </w:r>
      <w:r w:rsidR="00FB30BB" w:rsidRPr="002D58F7">
        <w:rPr>
          <w:i/>
          <w:iCs/>
        </w:rPr>
        <w:t>Participant</w:t>
      </w:r>
      <w:r w:rsidR="002D58F7" w:rsidRPr="002D58F7">
        <w:rPr>
          <w:i/>
          <w:iCs/>
        </w:rPr>
        <w:t xml:space="preserve"> </w:t>
      </w:r>
      <w:r>
        <w:t xml:space="preserve">being paid </w:t>
      </w:r>
      <w:r w:rsidR="008E04B5">
        <w:rPr>
          <w:i/>
          <w:iCs/>
        </w:rPr>
        <w:t xml:space="preserve">surprise uplift </w:t>
      </w:r>
      <w:r w:rsidRPr="00631996">
        <w:t>payments</w:t>
      </w:r>
      <w:r>
        <w:t xml:space="preserve"> by AEMO for that</w:t>
      </w:r>
      <w:r w:rsidRPr="00631996">
        <w:rPr>
          <w:i/>
          <w:iCs/>
        </w:rPr>
        <w:t xml:space="preserve"> scheduling interval</w:t>
      </w:r>
      <w:r>
        <w:t xml:space="preserve"> in that </w:t>
      </w:r>
      <w:r w:rsidRPr="00631996">
        <w:rPr>
          <w:i/>
          <w:iCs/>
        </w:rPr>
        <w:t>operating schedule</w:t>
      </w:r>
      <w:r>
        <w:t xml:space="preserve">.  </w:t>
      </w:r>
    </w:p>
    <w:p w14:paraId="0D8377C7" w14:textId="44979310" w:rsidR="005752D4" w:rsidRDefault="005752D4" w:rsidP="00A11E25">
      <w:pPr>
        <w:pStyle w:val="Heading3"/>
      </w:pPr>
      <w:bookmarkStart w:id="74" w:name="_Toc39571796"/>
      <w:r>
        <w:tab/>
      </w:r>
      <w:bookmarkStart w:id="75" w:name="_Ref54623620"/>
      <w:r>
        <w:t>Surprise uplift quantity for residual demand forecast override</w:t>
      </w:r>
      <w:bookmarkEnd w:id="74"/>
      <w:bookmarkEnd w:id="75"/>
    </w:p>
    <w:p w14:paraId="20AF886C" w14:textId="77777777" w:rsidR="00AA5A5E" w:rsidRPr="00AA5A5E" w:rsidRDefault="00AA5A5E" w:rsidP="00AA5A5E">
      <w:pPr>
        <w:pStyle w:val="ResetPara"/>
      </w:pPr>
    </w:p>
    <w:p w14:paraId="3E87CA91" w14:textId="53182A4F" w:rsidR="005752D4" w:rsidRDefault="005752D4" w:rsidP="001372E6">
      <w:pPr>
        <w:pStyle w:val="ParaNum1"/>
        <w:numPr>
          <w:ilvl w:val="3"/>
          <w:numId w:val="20"/>
        </w:numPr>
      </w:pPr>
      <w:bookmarkStart w:id="76" w:name="_Ref57711894"/>
      <w:r>
        <w:t xml:space="preserve">For the initial </w:t>
      </w:r>
      <w:r w:rsidRPr="00CB101C">
        <w:t>operating schedule</w:t>
      </w:r>
      <w:r>
        <w:t xml:space="preserve"> for the </w:t>
      </w:r>
      <w:r w:rsidRPr="00CB101C">
        <w:t>gas day</w:t>
      </w:r>
      <w:r>
        <w:t xml:space="preserve">, the </w:t>
      </w:r>
      <w:r w:rsidRPr="001137A6">
        <w:rPr>
          <w:i/>
          <w:iCs/>
        </w:rPr>
        <w:t>surprise uplift quantity</w:t>
      </w:r>
      <w:r>
        <w:t xml:space="preserve"> for</w:t>
      </w:r>
      <w:r w:rsidRPr="0014702E">
        <w:rPr>
          <w:i/>
          <w:iCs/>
        </w:rPr>
        <w:t xml:space="preserve"> residual AEMO demand forecast override</w:t>
      </w:r>
      <w:r>
        <w:t xml:space="preserve"> is </w:t>
      </w:r>
      <w:r w:rsidR="003D3B94">
        <w:t xml:space="preserve">determined by AEMO as </w:t>
      </w:r>
      <w:r>
        <w:t xml:space="preserve">the sum of the residual </w:t>
      </w:r>
      <w:r w:rsidRPr="00CB101C">
        <w:t>demand forecast override</w:t>
      </w:r>
      <w:r>
        <w:t xml:space="preserve"> for all hours calculated for the initial </w:t>
      </w:r>
      <w:r w:rsidRPr="00CB101C">
        <w:t>operating schedule</w:t>
      </w:r>
      <w:r>
        <w:t xml:space="preserve"> of the </w:t>
      </w:r>
      <w:r w:rsidRPr="00CB101C">
        <w:t>gas day</w:t>
      </w:r>
      <w:r>
        <w:t xml:space="preserve"> pursuant to clause </w:t>
      </w:r>
      <w:r w:rsidR="002563B0">
        <w:rPr>
          <w:color w:val="2B579A"/>
          <w:shd w:val="clear" w:color="auto" w:fill="E6E6E6"/>
        </w:rPr>
        <w:fldChar w:fldCharType="begin"/>
      </w:r>
      <w:r w:rsidR="002563B0">
        <w:instrText xml:space="preserve"> REF _Ref54623502 \r \h </w:instrText>
      </w:r>
      <w:r w:rsidR="00CB101C">
        <w:instrText xml:space="preserve"> \* MERGEFORMAT </w:instrText>
      </w:r>
      <w:r w:rsidR="002563B0">
        <w:rPr>
          <w:color w:val="2B579A"/>
          <w:shd w:val="clear" w:color="auto" w:fill="E6E6E6"/>
        </w:rPr>
      </w:r>
      <w:r w:rsidR="002563B0">
        <w:rPr>
          <w:color w:val="2B579A"/>
          <w:shd w:val="clear" w:color="auto" w:fill="E6E6E6"/>
        </w:rPr>
        <w:fldChar w:fldCharType="separate"/>
      </w:r>
      <w:r w:rsidR="00BA68AF">
        <w:t>7.2.3</w:t>
      </w:r>
      <w:r w:rsidR="002563B0">
        <w:rPr>
          <w:color w:val="2B579A"/>
          <w:shd w:val="clear" w:color="auto" w:fill="E6E6E6"/>
        </w:rPr>
        <w:fldChar w:fldCharType="end"/>
      </w:r>
      <w:r>
        <w:t>.</w:t>
      </w:r>
      <w:bookmarkEnd w:id="76"/>
      <w:r>
        <w:t xml:space="preserve"> </w:t>
      </w:r>
    </w:p>
    <w:p w14:paraId="244E9B52" w14:textId="77777777" w:rsidR="005752D4" w:rsidRDefault="005752D4" w:rsidP="00CB101C">
      <w:pPr>
        <w:pStyle w:val="ParaNum1"/>
      </w:pPr>
      <w:r>
        <w:t xml:space="preserve">For each updated </w:t>
      </w:r>
      <w:r>
        <w:rPr>
          <w:i/>
        </w:rPr>
        <w:t>operating schedule</w:t>
      </w:r>
      <w:r>
        <w:t xml:space="preserve"> of a </w:t>
      </w:r>
      <w:r>
        <w:rPr>
          <w:i/>
        </w:rPr>
        <w:t>gas day</w:t>
      </w:r>
      <w:r>
        <w:t xml:space="preserve"> after the initial </w:t>
      </w:r>
      <w:r>
        <w:rPr>
          <w:i/>
        </w:rPr>
        <w:t>operating schedule</w:t>
      </w:r>
      <w:r>
        <w:t>, the</w:t>
      </w:r>
      <w:r w:rsidRPr="002563B0">
        <w:rPr>
          <w:i/>
          <w:iCs/>
        </w:rPr>
        <w:t xml:space="preserve"> surprise uplift</w:t>
      </w:r>
      <w:r>
        <w:t xml:space="preserve"> </w:t>
      </w:r>
      <w:r w:rsidRPr="00841CD3">
        <w:rPr>
          <w:i/>
          <w:iCs/>
        </w:rPr>
        <w:t>quantity</w:t>
      </w:r>
      <w:r>
        <w:t xml:space="preserve"> for residual </w:t>
      </w:r>
      <w:r>
        <w:rPr>
          <w:i/>
        </w:rPr>
        <w:t>demand forecast override</w:t>
      </w:r>
      <w:r>
        <w:t xml:space="preserve"> is determined by AEMO as follows: </w:t>
      </w:r>
    </w:p>
    <w:p w14:paraId="76A964D7" w14:textId="77777777" w:rsidR="005752D4" w:rsidRDefault="005752D4" w:rsidP="00C0337B">
      <w:pPr>
        <w:pStyle w:val="ListBullet"/>
        <w:ind w:left="1560"/>
      </w:pPr>
      <w:r>
        <w:t>the change in the sum of total</w:t>
      </w:r>
      <w:r w:rsidRPr="00A62097">
        <w:t xml:space="preserve"> demand forecast</w:t>
      </w:r>
      <w:r>
        <w:t xml:space="preserve"> and total </w:t>
      </w:r>
      <w:r w:rsidRPr="00A62097">
        <w:t>demand forecast override</w:t>
      </w:r>
      <w:r>
        <w:t xml:space="preserve"> over the </w:t>
      </w:r>
      <w:r w:rsidRPr="00A62097">
        <w:t>scheduling horizon</w:t>
      </w:r>
      <w:r>
        <w:t xml:space="preserve"> for that </w:t>
      </w:r>
      <w:r w:rsidRPr="00A62097">
        <w:t>operating schedule</w:t>
      </w:r>
      <w:r>
        <w:t xml:space="preserve"> </w:t>
      </w:r>
    </w:p>
    <w:p w14:paraId="5B8E73F4" w14:textId="77777777" w:rsidR="005752D4" w:rsidRDefault="005752D4" w:rsidP="00C0337B">
      <w:pPr>
        <w:pStyle w:val="BodyText"/>
        <w:ind w:left="1277"/>
      </w:pPr>
      <w:r>
        <w:t xml:space="preserve">minus </w:t>
      </w:r>
    </w:p>
    <w:p w14:paraId="03034E8E" w14:textId="0104B58C" w:rsidR="005752D4" w:rsidRDefault="005752D4" w:rsidP="00C0337B">
      <w:pPr>
        <w:pStyle w:val="ListBullet"/>
        <w:ind w:left="1560"/>
      </w:pPr>
      <w:r>
        <w:t xml:space="preserve">the change in the sum of all </w:t>
      </w:r>
      <w:r w:rsidR="00A62097" w:rsidRPr="00C0337B">
        <w:t>market participants’</w:t>
      </w:r>
      <w:r w:rsidRPr="00C0337B">
        <w:t xml:space="preserve"> effective demand forecast</w:t>
      </w:r>
      <w:r>
        <w:t xml:space="preserve"> calculated by AEMO pursuant to clause </w:t>
      </w:r>
      <w:r w:rsidR="002563B0">
        <w:rPr>
          <w:color w:val="2B579A"/>
          <w:shd w:val="clear" w:color="auto" w:fill="E6E6E6"/>
        </w:rPr>
        <w:fldChar w:fldCharType="begin"/>
      </w:r>
      <w:r w:rsidR="002563B0">
        <w:instrText xml:space="preserve"> REF _Ref54621866 \r \h </w:instrText>
      </w:r>
      <w:r w:rsidR="007D3A5E">
        <w:instrText xml:space="preserve"> \* MERGEFORMAT </w:instrText>
      </w:r>
      <w:r w:rsidR="002563B0">
        <w:rPr>
          <w:color w:val="2B579A"/>
          <w:shd w:val="clear" w:color="auto" w:fill="E6E6E6"/>
        </w:rPr>
      </w:r>
      <w:r w:rsidR="002563B0">
        <w:rPr>
          <w:color w:val="2B579A"/>
          <w:shd w:val="clear" w:color="auto" w:fill="E6E6E6"/>
        </w:rPr>
        <w:fldChar w:fldCharType="separate"/>
      </w:r>
      <w:r w:rsidR="00BA68AF">
        <w:t>7.2.2</w:t>
      </w:r>
      <w:r w:rsidR="002563B0">
        <w:rPr>
          <w:color w:val="2B579A"/>
          <w:shd w:val="clear" w:color="auto" w:fill="E6E6E6"/>
        </w:rPr>
        <w:fldChar w:fldCharType="end"/>
      </w:r>
      <w:r>
        <w:t xml:space="preserve"> over the </w:t>
      </w:r>
      <w:r w:rsidRPr="00C0337B">
        <w:t>scheduling horizon</w:t>
      </w:r>
      <w:r>
        <w:t xml:space="preserve"> for that </w:t>
      </w:r>
      <w:r w:rsidRPr="00C0337B">
        <w:t>operating schedule</w:t>
      </w:r>
      <w:r>
        <w:t xml:space="preserve">. </w:t>
      </w:r>
    </w:p>
    <w:p w14:paraId="30E95B2E" w14:textId="39ED1A87" w:rsidR="005752D4" w:rsidRDefault="005752D4" w:rsidP="002563B0">
      <w:pPr>
        <w:pStyle w:val="Heading2"/>
      </w:pPr>
      <w:bookmarkStart w:id="77" w:name="_Toc39571797"/>
      <w:r>
        <w:tab/>
      </w:r>
      <w:bookmarkStart w:id="78" w:name="_Toc62480214"/>
      <w:r>
        <w:t xml:space="preserve">Determination of </w:t>
      </w:r>
      <w:r w:rsidR="00E14758">
        <w:t>each market participant</w:t>
      </w:r>
      <w:r w:rsidR="00B45B7A">
        <w:t xml:space="preserve">’s </w:t>
      </w:r>
      <w:r>
        <w:t>surprise uplift quantity for each schedule</w:t>
      </w:r>
      <w:bookmarkEnd w:id="77"/>
      <w:r w:rsidR="008F1E99">
        <w:t xml:space="preserve"> </w:t>
      </w:r>
      <w:r w:rsidR="008F1E99">
        <w:rPr>
          <w:rStyle w:val="FootnoteReference"/>
        </w:rPr>
        <w:footnoteReference w:id="9"/>
      </w:r>
      <w:bookmarkEnd w:id="78"/>
    </w:p>
    <w:p w14:paraId="7CBA45C1" w14:textId="77777777" w:rsidR="00AA5A5E" w:rsidRPr="00AA5A5E" w:rsidRDefault="00AA5A5E" w:rsidP="00AA5A5E">
      <w:pPr>
        <w:pStyle w:val="ResetPara"/>
      </w:pPr>
    </w:p>
    <w:p w14:paraId="035BB308" w14:textId="2A29B27A" w:rsidR="005752D4" w:rsidRDefault="005752D4" w:rsidP="002563B0">
      <w:pPr>
        <w:pStyle w:val="BodyText"/>
      </w:pPr>
      <w:r>
        <w:t>The positive and negative</w:t>
      </w:r>
      <w:r w:rsidRPr="00A62097">
        <w:rPr>
          <w:i/>
          <w:iCs/>
        </w:rPr>
        <w:t xml:space="preserve"> surprise uplift quantity</w:t>
      </w:r>
      <w:r>
        <w:t xml:space="preserve"> for a </w:t>
      </w:r>
      <w:r w:rsidR="002D58F7" w:rsidRPr="002D58F7">
        <w:rPr>
          <w:i/>
          <w:iCs/>
        </w:rPr>
        <w:t xml:space="preserve">Market </w:t>
      </w:r>
      <w:r w:rsidR="00FB30BB" w:rsidRPr="002D58F7">
        <w:rPr>
          <w:i/>
          <w:iCs/>
        </w:rPr>
        <w:t>Participant</w:t>
      </w:r>
      <w:r w:rsidR="002D58F7" w:rsidRPr="002D58F7">
        <w:rPr>
          <w:i/>
          <w:iCs/>
        </w:rPr>
        <w:t xml:space="preserve"> </w:t>
      </w:r>
      <w:r>
        <w:t xml:space="preserve">for each </w:t>
      </w:r>
      <w:r w:rsidR="00446264" w:rsidRPr="00446264">
        <w:rPr>
          <w:i/>
          <w:iCs/>
        </w:rPr>
        <w:t>operating</w:t>
      </w:r>
      <w:r w:rsidR="00446264">
        <w:t xml:space="preserve"> </w:t>
      </w:r>
      <w:r w:rsidRPr="00A62097">
        <w:rPr>
          <w:i/>
          <w:iCs/>
        </w:rPr>
        <w:t>schedule</w:t>
      </w:r>
      <w:r>
        <w:t xml:space="preserve"> is determined by AEMO as follows: </w:t>
      </w:r>
    </w:p>
    <w:p w14:paraId="6DC7F071" w14:textId="3F04C1DB" w:rsidR="00EE5ED2" w:rsidRDefault="005752D4" w:rsidP="003D1501">
      <w:pPr>
        <w:pStyle w:val="Lista"/>
        <w:numPr>
          <w:ilvl w:val="1"/>
          <w:numId w:val="32"/>
        </w:numPr>
      </w:pPr>
      <w:r>
        <w:t xml:space="preserve">A </w:t>
      </w:r>
      <w:r w:rsidR="002D58F7" w:rsidRPr="002D58F7">
        <w:t xml:space="preserve">Market </w:t>
      </w:r>
      <w:r w:rsidR="00FB30BB" w:rsidRPr="002D58F7">
        <w:t>Participant’s</w:t>
      </w:r>
      <w:r>
        <w:t xml:space="preserve"> positive </w:t>
      </w:r>
      <w:r w:rsidRPr="00144DFC">
        <w:rPr>
          <w:i/>
          <w:iCs/>
        </w:rPr>
        <w:t>surprise uplift quantity</w:t>
      </w:r>
      <w:r>
        <w:t xml:space="preserve"> is </w:t>
      </w:r>
    </w:p>
    <w:p w14:paraId="6FEFF0AD" w14:textId="44E225EB" w:rsidR="005752D4" w:rsidRDefault="005752D4" w:rsidP="000F003E">
      <w:pPr>
        <w:pStyle w:val="ListBullet"/>
        <w:ind w:left="1559"/>
      </w:pPr>
      <w:r>
        <w:t xml:space="preserve">the greater of zero and that </w:t>
      </w:r>
      <w:r w:rsidR="002D58F7" w:rsidRPr="002D58F7">
        <w:rPr>
          <w:i/>
          <w:iCs/>
        </w:rPr>
        <w:t xml:space="preserve">Market </w:t>
      </w:r>
      <w:r w:rsidR="00FB30BB" w:rsidRPr="002D58F7">
        <w:rPr>
          <w:i/>
          <w:iCs/>
        </w:rPr>
        <w:t>Participant’s</w:t>
      </w:r>
      <w:r>
        <w:t xml:space="preserve"> </w:t>
      </w:r>
      <w:r w:rsidRPr="00446264">
        <w:rPr>
          <w:i/>
          <w:iCs/>
        </w:rPr>
        <w:t>surprise uplift quantity</w:t>
      </w:r>
      <w:r>
        <w:t xml:space="preserve"> for that </w:t>
      </w:r>
      <w:r w:rsidR="00446264" w:rsidRPr="00446264">
        <w:rPr>
          <w:i/>
          <w:iCs/>
        </w:rPr>
        <w:t xml:space="preserve">operating </w:t>
      </w:r>
      <w:r w:rsidRPr="00446264">
        <w:rPr>
          <w:i/>
          <w:iCs/>
        </w:rPr>
        <w:t>schedule</w:t>
      </w:r>
      <w:r>
        <w:t xml:space="preserve"> as determined by AEMO pursuant to clause </w:t>
      </w:r>
      <w:r w:rsidR="004A22B5">
        <w:rPr>
          <w:color w:val="2B579A"/>
          <w:shd w:val="clear" w:color="auto" w:fill="E6E6E6"/>
        </w:rPr>
        <w:fldChar w:fldCharType="begin"/>
      </w:r>
      <w:r w:rsidR="004A22B5">
        <w:instrText xml:space="preserve"> REF _Ref54623607 \r \h </w:instrText>
      </w:r>
      <w:r w:rsidR="00C5177F">
        <w:instrText xml:space="preserve"> \* MERGEFORMAT </w:instrText>
      </w:r>
      <w:r w:rsidR="004A22B5">
        <w:rPr>
          <w:color w:val="2B579A"/>
          <w:shd w:val="clear" w:color="auto" w:fill="E6E6E6"/>
        </w:rPr>
      </w:r>
      <w:r w:rsidR="004A22B5">
        <w:rPr>
          <w:color w:val="2B579A"/>
          <w:shd w:val="clear" w:color="auto" w:fill="E6E6E6"/>
        </w:rPr>
        <w:fldChar w:fldCharType="separate"/>
      </w:r>
      <w:r w:rsidR="00BA68AF">
        <w:t>7.3.2</w:t>
      </w:r>
      <w:r w:rsidR="004A22B5">
        <w:rPr>
          <w:color w:val="2B579A"/>
          <w:shd w:val="clear" w:color="auto" w:fill="E6E6E6"/>
        </w:rPr>
        <w:fldChar w:fldCharType="end"/>
      </w:r>
      <w:r>
        <w:t xml:space="preserve"> </w:t>
      </w:r>
    </w:p>
    <w:p w14:paraId="62F11495" w14:textId="77777777" w:rsidR="005752D4" w:rsidRDefault="005752D4" w:rsidP="000F003E">
      <w:pPr>
        <w:pStyle w:val="BodyText"/>
        <w:ind w:left="1843"/>
      </w:pPr>
      <w:r>
        <w:t xml:space="preserve">plus  </w:t>
      </w:r>
    </w:p>
    <w:p w14:paraId="55AF7C28" w14:textId="4526256D" w:rsidR="005752D4" w:rsidRDefault="005752D4" w:rsidP="000F003E">
      <w:pPr>
        <w:pStyle w:val="ListBullet"/>
        <w:ind w:left="1559"/>
      </w:pPr>
      <w:r>
        <w:t xml:space="preserve">the greater of zero and that </w:t>
      </w:r>
      <w:r w:rsidR="002D58F7" w:rsidRPr="002D58F7">
        <w:rPr>
          <w:i/>
          <w:iCs/>
        </w:rPr>
        <w:t xml:space="preserve">Market </w:t>
      </w:r>
      <w:r w:rsidR="00FB30BB" w:rsidRPr="002D58F7">
        <w:rPr>
          <w:i/>
          <w:iCs/>
        </w:rPr>
        <w:t>Participant’s</w:t>
      </w:r>
      <w:r>
        <w:t xml:space="preserve"> </w:t>
      </w:r>
      <w:r w:rsidRPr="00C638E4">
        <w:rPr>
          <w:i/>
          <w:iCs/>
        </w:rPr>
        <w:t>surprise uplift quantity</w:t>
      </w:r>
      <w:r>
        <w:t xml:space="preserve"> for the residual </w:t>
      </w:r>
      <w:r w:rsidRPr="00C638E4">
        <w:rPr>
          <w:i/>
          <w:iCs/>
        </w:rPr>
        <w:t>demand forecast override</w:t>
      </w:r>
      <w:r>
        <w:t xml:space="preserve"> for that </w:t>
      </w:r>
      <w:r w:rsidR="00C638E4" w:rsidRPr="00C638E4">
        <w:rPr>
          <w:i/>
          <w:iCs/>
        </w:rPr>
        <w:t xml:space="preserve">operating </w:t>
      </w:r>
      <w:r w:rsidRPr="00C638E4">
        <w:rPr>
          <w:i/>
          <w:iCs/>
        </w:rPr>
        <w:t>schedule</w:t>
      </w:r>
      <w:r>
        <w:t xml:space="preserve"> determined by AEMO pursuant to clause </w:t>
      </w:r>
      <w:r w:rsidR="004A22B5">
        <w:rPr>
          <w:color w:val="2B579A"/>
          <w:shd w:val="clear" w:color="auto" w:fill="E6E6E6"/>
        </w:rPr>
        <w:fldChar w:fldCharType="begin"/>
      </w:r>
      <w:r w:rsidR="004A22B5">
        <w:instrText xml:space="preserve"> REF _Ref54623620 \r \h </w:instrText>
      </w:r>
      <w:r w:rsidR="00C5177F">
        <w:instrText xml:space="preserve"> \* MERGEFORMAT </w:instrText>
      </w:r>
      <w:r w:rsidR="004A22B5">
        <w:rPr>
          <w:color w:val="2B579A"/>
          <w:shd w:val="clear" w:color="auto" w:fill="E6E6E6"/>
        </w:rPr>
      </w:r>
      <w:r w:rsidR="004A22B5">
        <w:rPr>
          <w:color w:val="2B579A"/>
          <w:shd w:val="clear" w:color="auto" w:fill="E6E6E6"/>
        </w:rPr>
        <w:fldChar w:fldCharType="separate"/>
      </w:r>
      <w:r w:rsidR="00BA68AF">
        <w:t>7.3.3</w:t>
      </w:r>
      <w:r w:rsidR="004A22B5">
        <w:rPr>
          <w:color w:val="2B579A"/>
          <w:shd w:val="clear" w:color="auto" w:fill="E6E6E6"/>
        </w:rPr>
        <w:fldChar w:fldCharType="end"/>
      </w:r>
      <w:r>
        <w:t xml:space="preserve">. </w:t>
      </w:r>
    </w:p>
    <w:p w14:paraId="483AF72D" w14:textId="06573EC7" w:rsidR="005752D4" w:rsidRDefault="005752D4" w:rsidP="003D1501">
      <w:pPr>
        <w:pStyle w:val="Lista"/>
      </w:pPr>
      <w:r>
        <w:t xml:space="preserve">A </w:t>
      </w:r>
      <w:r w:rsidR="002D58F7" w:rsidRPr="000F003E">
        <w:t xml:space="preserve">Market </w:t>
      </w:r>
      <w:r w:rsidR="00FB30BB" w:rsidRPr="000F003E">
        <w:t>Participant’s</w:t>
      </w:r>
      <w:r>
        <w:t xml:space="preserve"> negative </w:t>
      </w:r>
      <w:r w:rsidRPr="00144DFC">
        <w:rPr>
          <w:i/>
          <w:iCs/>
        </w:rPr>
        <w:t>surprise uplift quantity</w:t>
      </w:r>
      <w:r>
        <w:t xml:space="preserve"> is </w:t>
      </w:r>
    </w:p>
    <w:p w14:paraId="4DADACF3" w14:textId="5643D966" w:rsidR="001573BB" w:rsidRDefault="005752D4" w:rsidP="000F003E">
      <w:pPr>
        <w:pStyle w:val="ListBullet"/>
        <w:ind w:left="1559"/>
      </w:pPr>
      <w:r>
        <w:t xml:space="preserve">the lesser of zero and that </w:t>
      </w:r>
      <w:r w:rsidR="002D58F7" w:rsidRPr="002D58F7">
        <w:rPr>
          <w:i/>
          <w:iCs/>
        </w:rPr>
        <w:t xml:space="preserve">Market </w:t>
      </w:r>
      <w:r w:rsidR="00FB30BB" w:rsidRPr="002D58F7">
        <w:rPr>
          <w:i/>
          <w:iCs/>
        </w:rPr>
        <w:t>Participant’s</w:t>
      </w:r>
      <w:r>
        <w:t xml:space="preserve"> surprise uplift quantity for that </w:t>
      </w:r>
      <w:r w:rsidR="00CA642F" w:rsidRPr="00CA642F">
        <w:rPr>
          <w:i/>
          <w:iCs/>
        </w:rPr>
        <w:t xml:space="preserve">operating </w:t>
      </w:r>
      <w:r w:rsidRPr="00CA642F">
        <w:rPr>
          <w:i/>
          <w:iCs/>
        </w:rPr>
        <w:t>schedule</w:t>
      </w:r>
      <w:r>
        <w:t xml:space="preserve"> as determined by AEMO under clause </w:t>
      </w:r>
      <w:r w:rsidR="004A22B5">
        <w:rPr>
          <w:color w:val="2B579A"/>
          <w:shd w:val="clear" w:color="auto" w:fill="E6E6E6"/>
        </w:rPr>
        <w:fldChar w:fldCharType="begin"/>
      </w:r>
      <w:r w:rsidR="004A22B5">
        <w:instrText xml:space="preserve"> REF _Ref54623607 \r \h </w:instrText>
      </w:r>
      <w:r w:rsidR="001573BB">
        <w:instrText xml:space="preserve"> \* MERGEFORMAT </w:instrText>
      </w:r>
      <w:r w:rsidR="004A22B5">
        <w:rPr>
          <w:color w:val="2B579A"/>
          <w:shd w:val="clear" w:color="auto" w:fill="E6E6E6"/>
        </w:rPr>
      </w:r>
      <w:r w:rsidR="004A22B5">
        <w:rPr>
          <w:color w:val="2B579A"/>
          <w:shd w:val="clear" w:color="auto" w:fill="E6E6E6"/>
        </w:rPr>
        <w:fldChar w:fldCharType="separate"/>
      </w:r>
      <w:r w:rsidR="00BA68AF">
        <w:t>7.3.2</w:t>
      </w:r>
      <w:r w:rsidR="004A22B5">
        <w:rPr>
          <w:color w:val="2B579A"/>
          <w:shd w:val="clear" w:color="auto" w:fill="E6E6E6"/>
        </w:rPr>
        <w:fldChar w:fldCharType="end"/>
      </w:r>
      <w:r>
        <w:t xml:space="preserve"> </w:t>
      </w:r>
    </w:p>
    <w:p w14:paraId="192961BA" w14:textId="3E905781" w:rsidR="005752D4" w:rsidRDefault="005752D4" w:rsidP="000F003E">
      <w:pPr>
        <w:pStyle w:val="BodyText"/>
        <w:ind w:left="1843"/>
      </w:pPr>
      <w:r>
        <w:t xml:space="preserve">plus  </w:t>
      </w:r>
    </w:p>
    <w:p w14:paraId="6396D105" w14:textId="599AAD1F" w:rsidR="005752D4" w:rsidRDefault="005752D4" w:rsidP="000F003E">
      <w:pPr>
        <w:pStyle w:val="ListBullet"/>
        <w:ind w:left="1559"/>
      </w:pPr>
      <w:r>
        <w:t>the lesser of zero and that</w:t>
      </w:r>
      <w:r w:rsidR="00CA642F" w:rsidRPr="00CA642F">
        <w:rPr>
          <w:i/>
          <w:iCs/>
        </w:rPr>
        <w:t xml:space="preserve"> </w:t>
      </w:r>
      <w:r w:rsidR="002D58F7" w:rsidRPr="002D58F7">
        <w:rPr>
          <w:i/>
          <w:iCs/>
        </w:rPr>
        <w:t xml:space="preserve">Market </w:t>
      </w:r>
      <w:r w:rsidR="00FB30BB" w:rsidRPr="002D58F7">
        <w:rPr>
          <w:i/>
          <w:iCs/>
        </w:rPr>
        <w:t>Participant’s</w:t>
      </w:r>
      <w:r>
        <w:t xml:space="preserve"> surprise uplift quantity for the residual </w:t>
      </w:r>
      <w:r w:rsidRPr="00CA642F">
        <w:rPr>
          <w:i/>
          <w:iCs/>
        </w:rPr>
        <w:t>demand forecast override</w:t>
      </w:r>
      <w:r>
        <w:t xml:space="preserve"> for that </w:t>
      </w:r>
      <w:r w:rsidR="00C5156E">
        <w:rPr>
          <w:i/>
          <w:iCs/>
        </w:rPr>
        <w:t xml:space="preserve">operating </w:t>
      </w:r>
      <w:r w:rsidRPr="00C5156E">
        <w:rPr>
          <w:i/>
          <w:iCs/>
        </w:rPr>
        <w:t>schedule</w:t>
      </w:r>
      <w:r>
        <w:t xml:space="preserve"> determined by AEMO pursuant to clause </w:t>
      </w:r>
      <w:r w:rsidR="004A22B5">
        <w:rPr>
          <w:color w:val="2B579A"/>
          <w:shd w:val="clear" w:color="auto" w:fill="E6E6E6"/>
        </w:rPr>
        <w:fldChar w:fldCharType="begin"/>
      </w:r>
      <w:r w:rsidR="004A22B5">
        <w:instrText xml:space="preserve"> REF _Ref54623620 \r \h </w:instrText>
      </w:r>
      <w:r w:rsidR="001573BB">
        <w:instrText xml:space="preserve"> \* MERGEFORMAT </w:instrText>
      </w:r>
      <w:r w:rsidR="004A22B5">
        <w:rPr>
          <w:color w:val="2B579A"/>
          <w:shd w:val="clear" w:color="auto" w:fill="E6E6E6"/>
        </w:rPr>
      </w:r>
      <w:r w:rsidR="004A22B5">
        <w:rPr>
          <w:color w:val="2B579A"/>
          <w:shd w:val="clear" w:color="auto" w:fill="E6E6E6"/>
        </w:rPr>
        <w:fldChar w:fldCharType="separate"/>
      </w:r>
      <w:r w:rsidR="00BA68AF">
        <w:t>7.3.3</w:t>
      </w:r>
      <w:r w:rsidR="004A22B5">
        <w:rPr>
          <w:color w:val="2B579A"/>
          <w:shd w:val="clear" w:color="auto" w:fill="E6E6E6"/>
        </w:rPr>
        <w:fldChar w:fldCharType="end"/>
      </w:r>
      <w:r>
        <w:t xml:space="preserve">. </w:t>
      </w:r>
    </w:p>
    <w:p w14:paraId="0C90E643" w14:textId="644E4660" w:rsidR="003D1501" w:rsidRDefault="00E35ABC" w:rsidP="00E35ABC">
      <w:pPr>
        <w:pStyle w:val="Heading2"/>
      </w:pPr>
      <w:bookmarkStart w:id="79" w:name="_Toc62480215"/>
      <w:r>
        <w:lastRenderedPageBreak/>
        <w:t xml:space="preserve">Determination </w:t>
      </w:r>
      <w:r w:rsidR="002601A4">
        <w:t>of</w:t>
      </w:r>
      <w:r>
        <w:t xml:space="preserve"> the </w:t>
      </w:r>
      <w:r w:rsidR="00EB6596">
        <w:t>modified</w:t>
      </w:r>
      <w:r w:rsidR="00A75E39">
        <w:t xml:space="preserve"> </w:t>
      </w:r>
      <w:r>
        <w:t xml:space="preserve">surprise </w:t>
      </w:r>
      <w:r w:rsidR="00CC2612">
        <w:t>uplift quantity for each schedule</w:t>
      </w:r>
      <w:bookmarkEnd w:id="79"/>
    </w:p>
    <w:p w14:paraId="27F9D993" w14:textId="551F9616" w:rsidR="00CC2612" w:rsidRDefault="00CC2612" w:rsidP="00CC2612">
      <w:pPr>
        <w:pStyle w:val="ResetPara"/>
      </w:pPr>
    </w:p>
    <w:p w14:paraId="026D9926" w14:textId="20D93FD5" w:rsidR="004B65F7" w:rsidRDefault="004B65F7" w:rsidP="00CC2612">
      <w:pPr>
        <w:pStyle w:val="Lista"/>
      </w:pPr>
      <w:r>
        <w:t xml:space="preserve">The </w:t>
      </w:r>
      <w:r w:rsidR="00246A52">
        <w:t xml:space="preserve">sum of the </w:t>
      </w:r>
      <w:r w:rsidR="00246A52" w:rsidRPr="00246A52">
        <w:rPr>
          <w:i/>
          <w:iCs/>
        </w:rPr>
        <w:t>surprise uplift quantities</w:t>
      </w:r>
      <w:r w:rsidR="00246A52">
        <w:t xml:space="preserve"> for an </w:t>
      </w:r>
      <w:r w:rsidR="00246A52" w:rsidRPr="00246A52">
        <w:rPr>
          <w:i/>
          <w:iCs/>
        </w:rPr>
        <w:t xml:space="preserve">operating schedule </w:t>
      </w:r>
      <w:r w:rsidR="00246A52">
        <w:t xml:space="preserve">for all </w:t>
      </w:r>
      <w:r w:rsidR="00E8709C" w:rsidRPr="00246A52">
        <w:rPr>
          <w:i/>
          <w:iCs/>
        </w:rPr>
        <w:t xml:space="preserve">Market </w:t>
      </w:r>
      <w:r w:rsidR="00BB288B" w:rsidRPr="00246A52">
        <w:rPr>
          <w:i/>
          <w:iCs/>
        </w:rPr>
        <w:t>Participants</w:t>
      </w:r>
      <w:r w:rsidR="00E8709C" w:rsidRPr="00246A52">
        <w:rPr>
          <w:i/>
          <w:iCs/>
        </w:rPr>
        <w:t xml:space="preserve"> </w:t>
      </w:r>
      <w:r w:rsidR="00214208">
        <w:t>is</w:t>
      </w:r>
      <w:r w:rsidR="00246A52">
        <w:t xml:space="preserve"> limited by the</w:t>
      </w:r>
      <w:r w:rsidR="006232FC">
        <w:t xml:space="preserve"> </w:t>
      </w:r>
      <w:r w:rsidR="006232FC">
        <w:rPr>
          <w:i/>
          <w:iCs/>
        </w:rPr>
        <w:t xml:space="preserve">residual </w:t>
      </w:r>
      <w:r w:rsidR="00072B73">
        <w:rPr>
          <w:i/>
          <w:iCs/>
        </w:rPr>
        <w:t>uplift</w:t>
      </w:r>
      <w:r w:rsidR="006232FC">
        <w:rPr>
          <w:i/>
          <w:iCs/>
        </w:rPr>
        <w:t xml:space="preserve"> payment quantity</w:t>
      </w:r>
      <w:r w:rsidR="0051001E">
        <w:t xml:space="preserve"> and is known as the </w:t>
      </w:r>
      <w:r w:rsidR="0051001E">
        <w:rPr>
          <w:i/>
          <w:iCs/>
        </w:rPr>
        <w:t>modified</w:t>
      </w:r>
      <w:r w:rsidR="0051001E" w:rsidRPr="00E7339B">
        <w:rPr>
          <w:i/>
          <w:iCs/>
        </w:rPr>
        <w:t xml:space="preserve"> surprise quantity</w:t>
      </w:r>
      <w:r w:rsidR="0051001E">
        <w:t>.</w:t>
      </w:r>
    </w:p>
    <w:p w14:paraId="17019DFF" w14:textId="53A3905D" w:rsidR="002A3318" w:rsidRDefault="00606FBD" w:rsidP="00CC2612">
      <w:pPr>
        <w:pStyle w:val="Lista"/>
      </w:pPr>
      <w:r>
        <w:t xml:space="preserve">The </w:t>
      </w:r>
      <w:r w:rsidR="001C3140">
        <w:rPr>
          <w:i/>
          <w:iCs/>
        </w:rPr>
        <w:t>residual</w:t>
      </w:r>
      <w:r>
        <w:rPr>
          <w:i/>
          <w:iCs/>
        </w:rPr>
        <w:t xml:space="preserve"> </w:t>
      </w:r>
      <w:r w:rsidR="00083B9D">
        <w:rPr>
          <w:i/>
          <w:iCs/>
        </w:rPr>
        <w:t>uplift</w:t>
      </w:r>
      <w:r w:rsidR="00E7339B">
        <w:rPr>
          <w:i/>
          <w:iCs/>
        </w:rPr>
        <w:t xml:space="preserve"> payment</w:t>
      </w:r>
      <w:r>
        <w:rPr>
          <w:i/>
          <w:iCs/>
        </w:rPr>
        <w:t xml:space="preserve"> quantity</w:t>
      </w:r>
      <w:r w:rsidRPr="002A3318">
        <w:t xml:space="preserve"> </w:t>
      </w:r>
      <w:r w:rsidR="004A52B3">
        <w:t xml:space="preserve">after </w:t>
      </w:r>
      <w:r w:rsidR="004A52B3">
        <w:rPr>
          <w:i/>
          <w:iCs/>
        </w:rPr>
        <w:t xml:space="preserve">DTS SP uplift </w:t>
      </w:r>
      <w:r w:rsidR="002A3318">
        <w:t xml:space="preserve">for an </w:t>
      </w:r>
      <w:r w:rsidR="002A3318">
        <w:rPr>
          <w:i/>
          <w:iCs/>
        </w:rPr>
        <w:t>operating schedule</w:t>
      </w:r>
      <w:r w:rsidR="002A3318" w:rsidRPr="002A3318">
        <w:t xml:space="preserve"> </w:t>
      </w:r>
      <w:r w:rsidRPr="002A3318">
        <w:t>is determined</w:t>
      </w:r>
      <w:r w:rsidR="002A3318">
        <w:t xml:space="preserve"> by AEMO as</w:t>
      </w:r>
      <w:r w:rsidR="004A52B3">
        <w:t>:</w:t>
      </w:r>
    </w:p>
    <w:p w14:paraId="50724060" w14:textId="2AB676BE" w:rsidR="00B714DF" w:rsidRDefault="00B714DF" w:rsidP="002A3318">
      <w:pPr>
        <w:pStyle w:val="Listi"/>
      </w:pPr>
      <w:r>
        <w:t xml:space="preserve">If the </w:t>
      </w:r>
      <w:r w:rsidRPr="00B92030">
        <w:rPr>
          <w:i/>
          <w:iCs/>
        </w:rPr>
        <w:t>total</w:t>
      </w:r>
      <w:r>
        <w:t xml:space="preserve"> </w:t>
      </w:r>
      <w:r w:rsidR="006C0CF7">
        <w:rPr>
          <w:i/>
          <w:iCs/>
        </w:rPr>
        <w:t>uplift</w:t>
      </w:r>
      <w:r w:rsidRPr="00B714DF">
        <w:rPr>
          <w:i/>
          <w:iCs/>
        </w:rPr>
        <w:t xml:space="preserve"> payment quantity</w:t>
      </w:r>
      <w:r>
        <w:t xml:space="preserve"> is positive,</w:t>
      </w:r>
      <w:r w:rsidR="002A3318" w:rsidRPr="002A3318">
        <w:t xml:space="preserve"> </w:t>
      </w:r>
      <w:r w:rsidR="002A3318">
        <w:t>the t</w:t>
      </w:r>
      <w:r w:rsidR="002A3318" w:rsidRPr="00B92030">
        <w:rPr>
          <w:i/>
          <w:iCs/>
        </w:rPr>
        <w:t xml:space="preserve">otal </w:t>
      </w:r>
      <w:r w:rsidR="006C0CF7">
        <w:rPr>
          <w:i/>
          <w:iCs/>
        </w:rPr>
        <w:t>uplift</w:t>
      </w:r>
      <w:r w:rsidR="002A3318" w:rsidRPr="00B92030">
        <w:rPr>
          <w:i/>
          <w:iCs/>
        </w:rPr>
        <w:t xml:space="preserve"> payment quantity</w:t>
      </w:r>
      <w:r w:rsidR="002A3318">
        <w:t xml:space="preserve"> less </w:t>
      </w:r>
      <w:r w:rsidR="002A3318" w:rsidRPr="00B92030">
        <w:rPr>
          <w:i/>
          <w:iCs/>
        </w:rPr>
        <w:t>DTS SP uplift quantity</w:t>
      </w:r>
    </w:p>
    <w:p w14:paraId="70EDA458" w14:textId="573D607B" w:rsidR="00606FBD" w:rsidRPr="002A3318" w:rsidRDefault="002A3318" w:rsidP="002A3318">
      <w:pPr>
        <w:pStyle w:val="Listi"/>
      </w:pPr>
      <w:r>
        <w:t xml:space="preserve">if </w:t>
      </w:r>
      <w:r w:rsidR="00B92030">
        <w:t xml:space="preserve">the </w:t>
      </w:r>
      <w:r w:rsidRPr="00B92030">
        <w:rPr>
          <w:i/>
          <w:iCs/>
        </w:rPr>
        <w:t>total</w:t>
      </w:r>
      <w:r>
        <w:t xml:space="preserve"> </w:t>
      </w:r>
      <w:r w:rsidR="001D1A9F">
        <w:rPr>
          <w:i/>
          <w:iCs/>
        </w:rPr>
        <w:t>uplift</w:t>
      </w:r>
      <w:r w:rsidRPr="00B714DF">
        <w:rPr>
          <w:i/>
          <w:iCs/>
        </w:rPr>
        <w:t xml:space="preserve"> payment quantity</w:t>
      </w:r>
      <w:r>
        <w:t xml:space="preserve"> is </w:t>
      </w:r>
      <w:r w:rsidR="00E04EF8">
        <w:t>negative</w:t>
      </w:r>
      <w:r>
        <w:t xml:space="preserve">, the </w:t>
      </w:r>
      <w:r w:rsidRPr="00E04EF8">
        <w:rPr>
          <w:i/>
          <w:iCs/>
        </w:rPr>
        <w:t xml:space="preserve">total </w:t>
      </w:r>
      <w:r w:rsidR="00730EA6">
        <w:rPr>
          <w:i/>
          <w:iCs/>
        </w:rPr>
        <w:t>uplift</w:t>
      </w:r>
      <w:r w:rsidRPr="00E04EF8">
        <w:rPr>
          <w:i/>
          <w:iCs/>
        </w:rPr>
        <w:t xml:space="preserve"> payment quantity</w:t>
      </w:r>
    </w:p>
    <w:p w14:paraId="4F80CE6F" w14:textId="1862B827" w:rsidR="00237F35" w:rsidRDefault="00237F35" w:rsidP="00CC2612">
      <w:pPr>
        <w:pStyle w:val="Lista"/>
      </w:pPr>
      <w:r>
        <w:t xml:space="preserve">The </w:t>
      </w:r>
      <w:r w:rsidR="00EB6596">
        <w:rPr>
          <w:i/>
          <w:iCs/>
        </w:rPr>
        <w:t>modified</w:t>
      </w:r>
      <w:r w:rsidRPr="00E7339B">
        <w:rPr>
          <w:i/>
          <w:iCs/>
        </w:rPr>
        <w:t xml:space="preserve"> surprise quantity</w:t>
      </w:r>
      <w:r>
        <w:t xml:space="preserve"> for an </w:t>
      </w:r>
      <w:r>
        <w:rPr>
          <w:i/>
          <w:iCs/>
        </w:rPr>
        <w:t>operating schedule</w:t>
      </w:r>
      <w:r w:rsidR="00FC754E">
        <w:t xml:space="preserve"> is determined by AEMO as</w:t>
      </w:r>
      <w:r w:rsidR="0069528B">
        <w:t>:</w:t>
      </w:r>
    </w:p>
    <w:p w14:paraId="39AA0BCB" w14:textId="3FDA977E" w:rsidR="0069528B" w:rsidRPr="00606FBD" w:rsidRDefault="0069528B" w:rsidP="0069528B">
      <w:pPr>
        <w:pStyle w:val="Listi"/>
      </w:pPr>
      <w:r>
        <w:t xml:space="preserve">If the </w:t>
      </w:r>
      <w:r>
        <w:rPr>
          <w:i/>
          <w:iCs/>
        </w:rPr>
        <w:t xml:space="preserve">residual </w:t>
      </w:r>
      <w:r w:rsidR="001D1A9F">
        <w:rPr>
          <w:i/>
          <w:iCs/>
        </w:rPr>
        <w:t>uplift</w:t>
      </w:r>
      <w:r w:rsidR="00D16EC7">
        <w:rPr>
          <w:i/>
          <w:iCs/>
        </w:rPr>
        <w:t xml:space="preserve"> </w:t>
      </w:r>
      <w:r w:rsidR="00632F71">
        <w:rPr>
          <w:i/>
          <w:iCs/>
        </w:rPr>
        <w:t>payment quantity</w:t>
      </w:r>
      <w:r>
        <w:rPr>
          <w:i/>
          <w:iCs/>
        </w:rPr>
        <w:t xml:space="preserve"> </w:t>
      </w:r>
      <w:r w:rsidR="00BF01B8">
        <w:t>is positive, the minimum of the</w:t>
      </w:r>
      <w:r w:rsidR="00507EFA">
        <w:t xml:space="preserve"> positive</w:t>
      </w:r>
      <w:r w:rsidR="00BF01B8">
        <w:t xml:space="preserve"> </w:t>
      </w:r>
      <w:r w:rsidR="00BF01B8">
        <w:rPr>
          <w:i/>
          <w:iCs/>
        </w:rPr>
        <w:t xml:space="preserve">residual </w:t>
      </w:r>
      <w:r w:rsidR="001D1A9F">
        <w:rPr>
          <w:i/>
          <w:iCs/>
        </w:rPr>
        <w:t>uplift</w:t>
      </w:r>
      <w:r w:rsidR="00BF01B8">
        <w:rPr>
          <w:i/>
          <w:iCs/>
        </w:rPr>
        <w:t xml:space="preserve"> </w:t>
      </w:r>
      <w:r w:rsidR="00180817">
        <w:rPr>
          <w:i/>
          <w:iCs/>
        </w:rPr>
        <w:t xml:space="preserve">payment </w:t>
      </w:r>
      <w:r w:rsidR="00BF01B8">
        <w:rPr>
          <w:i/>
          <w:iCs/>
        </w:rPr>
        <w:t>quantity</w:t>
      </w:r>
      <w:r w:rsidR="00BF01B8">
        <w:t xml:space="preserve"> </w:t>
      </w:r>
      <w:r w:rsidR="00281076">
        <w:t xml:space="preserve">and the total positive </w:t>
      </w:r>
      <w:r w:rsidR="00281076" w:rsidRPr="00281076">
        <w:rPr>
          <w:i/>
          <w:iCs/>
        </w:rPr>
        <w:t xml:space="preserve">surprise uplift </w:t>
      </w:r>
      <w:r w:rsidR="00D16EC7" w:rsidRPr="00281076">
        <w:rPr>
          <w:i/>
          <w:iCs/>
        </w:rPr>
        <w:t>quantities</w:t>
      </w:r>
      <w:r w:rsidR="00281076">
        <w:t xml:space="preserve"> for all </w:t>
      </w:r>
      <w:r w:rsidR="00281076" w:rsidRPr="00281076">
        <w:rPr>
          <w:i/>
          <w:iCs/>
        </w:rPr>
        <w:t xml:space="preserve">Market </w:t>
      </w:r>
      <w:r w:rsidR="00D16EC7" w:rsidRPr="00281076">
        <w:rPr>
          <w:i/>
          <w:iCs/>
        </w:rPr>
        <w:t>Participants</w:t>
      </w:r>
      <w:r w:rsidR="00281076">
        <w:rPr>
          <w:i/>
          <w:iCs/>
        </w:rPr>
        <w:t>.</w:t>
      </w:r>
    </w:p>
    <w:p w14:paraId="4744B08D" w14:textId="607E9092" w:rsidR="00606FBD" w:rsidRDefault="00606FBD" w:rsidP="00606FBD">
      <w:pPr>
        <w:pStyle w:val="Listi"/>
      </w:pPr>
      <w:r>
        <w:t xml:space="preserve">If the </w:t>
      </w:r>
      <w:r>
        <w:rPr>
          <w:i/>
          <w:iCs/>
        </w:rPr>
        <w:t xml:space="preserve">residual </w:t>
      </w:r>
      <w:r w:rsidR="001022EA">
        <w:rPr>
          <w:i/>
          <w:iCs/>
        </w:rPr>
        <w:t>uplift</w:t>
      </w:r>
      <w:r>
        <w:rPr>
          <w:i/>
          <w:iCs/>
        </w:rPr>
        <w:t xml:space="preserve"> </w:t>
      </w:r>
      <w:r w:rsidR="00BA2B9A">
        <w:rPr>
          <w:i/>
          <w:iCs/>
        </w:rPr>
        <w:t xml:space="preserve">payment </w:t>
      </w:r>
      <w:r>
        <w:rPr>
          <w:i/>
          <w:iCs/>
        </w:rPr>
        <w:t xml:space="preserve">quantity </w:t>
      </w:r>
      <w:r>
        <w:t xml:space="preserve">is </w:t>
      </w:r>
      <w:r w:rsidR="00BA2B9A">
        <w:t>negative</w:t>
      </w:r>
      <w:r>
        <w:t xml:space="preserve">, the </w:t>
      </w:r>
      <w:r w:rsidR="00BA2B9A">
        <w:t>max</w:t>
      </w:r>
      <w:r>
        <w:t>imum of the</w:t>
      </w:r>
      <w:r w:rsidR="00465596">
        <w:t xml:space="preserve"> negative</w:t>
      </w:r>
      <w:r>
        <w:t xml:space="preserve"> </w:t>
      </w:r>
      <w:r>
        <w:rPr>
          <w:i/>
          <w:iCs/>
        </w:rPr>
        <w:t xml:space="preserve">residual </w:t>
      </w:r>
      <w:r w:rsidR="001022EA">
        <w:rPr>
          <w:i/>
          <w:iCs/>
        </w:rPr>
        <w:t>uplift</w:t>
      </w:r>
      <w:r>
        <w:rPr>
          <w:i/>
          <w:iCs/>
        </w:rPr>
        <w:t xml:space="preserve"> </w:t>
      </w:r>
      <w:r w:rsidR="00BA2B9A">
        <w:rPr>
          <w:i/>
          <w:iCs/>
        </w:rPr>
        <w:t xml:space="preserve">payment </w:t>
      </w:r>
      <w:r>
        <w:rPr>
          <w:i/>
          <w:iCs/>
        </w:rPr>
        <w:t>quantity</w:t>
      </w:r>
      <w:r>
        <w:t xml:space="preserve"> and the total </w:t>
      </w:r>
      <w:r w:rsidR="002D499F">
        <w:t>negative</w:t>
      </w:r>
      <w:r>
        <w:t xml:space="preserve"> </w:t>
      </w:r>
      <w:r w:rsidRPr="00281076">
        <w:rPr>
          <w:i/>
          <w:iCs/>
        </w:rPr>
        <w:t xml:space="preserve">surprise uplift </w:t>
      </w:r>
      <w:r w:rsidR="00D16EC7" w:rsidRPr="00281076">
        <w:rPr>
          <w:i/>
          <w:iCs/>
        </w:rPr>
        <w:t>quantities</w:t>
      </w:r>
      <w:r>
        <w:t xml:space="preserve"> for all </w:t>
      </w:r>
      <w:r w:rsidRPr="00281076">
        <w:rPr>
          <w:i/>
          <w:iCs/>
        </w:rPr>
        <w:t xml:space="preserve">Market </w:t>
      </w:r>
      <w:r w:rsidR="00D16EC7" w:rsidRPr="00281076">
        <w:rPr>
          <w:i/>
          <w:iCs/>
        </w:rPr>
        <w:t>Participants</w:t>
      </w:r>
      <w:r>
        <w:rPr>
          <w:i/>
          <w:iCs/>
        </w:rPr>
        <w:t>.</w:t>
      </w:r>
    </w:p>
    <w:p w14:paraId="296E1E7D" w14:textId="77777777" w:rsidR="00B170CC" w:rsidRDefault="00CC035B" w:rsidP="00CC2612">
      <w:pPr>
        <w:pStyle w:val="Lista"/>
      </w:pPr>
      <w:r>
        <w:t xml:space="preserve">A </w:t>
      </w:r>
      <w:r w:rsidRPr="00CC035B">
        <w:rPr>
          <w:i/>
          <w:iCs/>
        </w:rPr>
        <w:t xml:space="preserve">Market </w:t>
      </w:r>
      <w:r w:rsidR="00D16EC7" w:rsidRPr="00CC035B">
        <w:rPr>
          <w:i/>
          <w:iCs/>
        </w:rPr>
        <w:t>Participant’s</w:t>
      </w:r>
      <w:r w:rsidRPr="00CC035B">
        <w:rPr>
          <w:i/>
          <w:iCs/>
        </w:rPr>
        <w:t xml:space="preserve"> </w:t>
      </w:r>
      <w:r w:rsidR="0025206C">
        <w:t>final s</w:t>
      </w:r>
      <w:r w:rsidR="0025206C" w:rsidRPr="00EF1247">
        <w:rPr>
          <w:i/>
          <w:iCs/>
        </w:rPr>
        <w:t>urprise uplift quantity</w:t>
      </w:r>
      <w:r w:rsidR="0025206C">
        <w:t xml:space="preserve"> </w:t>
      </w:r>
      <w:r w:rsidR="00CD5394">
        <w:t xml:space="preserve">for an </w:t>
      </w:r>
      <w:r w:rsidR="00CD5394">
        <w:rPr>
          <w:i/>
          <w:iCs/>
        </w:rPr>
        <w:t>operati</w:t>
      </w:r>
      <w:r w:rsidR="009A7D74">
        <w:rPr>
          <w:i/>
          <w:iCs/>
        </w:rPr>
        <w:t xml:space="preserve">ng schedule </w:t>
      </w:r>
      <w:r w:rsidR="00EF1247">
        <w:t xml:space="preserve">must be determined </w:t>
      </w:r>
      <w:r w:rsidR="009A7D74">
        <w:t>by AEMO</w:t>
      </w:r>
    </w:p>
    <w:p w14:paraId="3E022EB0" w14:textId="061502F5" w:rsidR="00795B5C" w:rsidRDefault="00B170CC" w:rsidP="00B170CC">
      <w:pPr>
        <w:pStyle w:val="Listi"/>
      </w:pPr>
      <w:r>
        <w:t xml:space="preserve">If the </w:t>
      </w:r>
      <w:r w:rsidR="00197129">
        <w:rPr>
          <w:i/>
          <w:iCs/>
        </w:rPr>
        <w:t>modified</w:t>
      </w:r>
      <w:r w:rsidR="004721CB">
        <w:rPr>
          <w:i/>
          <w:iCs/>
        </w:rPr>
        <w:t xml:space="preserve"> surprise </w:t>
      </w:r>
      <w:r w:rsidR="00664B52">
        <w:rPr>
          <w:i/>
          <w:iCs/>
        </w:rPr>
        <w:t>quantity</w:t>
      </w:r>
      <w:r w:rsidR="004721CB">
        <w:t xml:space="preserve"> is positive,</w:t>
      </w:r>
      <w:r w:rsidR="009A7D74">
        <w:t xml:space="preserve"> </w:t>
      </w:r>
      <w:r w:rsidR="00EF1247">
        <w:t xml:space="preserve">as a </w:t>
      </w:r>
      <w:r w:rsidR="004721CB">
        <w:t>proportion</w:t>
      </w:r>
      <w:r w:rsidR="00A86BD6">
        <w:t>al</w:t>
      </w:r>
      <w:r w:rsidR="004721CB">
        <w:t xml:space="preserve"> </w:t>
      </w:r>
      <w:r w:rsidR="00F45D46">
        <w:t>share of the</w:t>
      </w:r>
      <w:r w:rsidR="00B9179B">
        <w:t xml:space="preserve"> </w:t>
      </w:r>
      <w:r w:rsidR="008309F4" w:rsidRPr="004721CB">
        <w:rPr>
          <w:i/>
          <w:iCs/>
        </w:rPr>
        <w:t xml:space="preserve">residual surprise </w:t>
      </w:r>
      <w:r w:rsidR="00D16EC7" w:rsidRPr="004721CB">
        <w:rPr>
          <w:i/>
          <w:iCs/>
        </w:rPr>
        <w:t>quantity</w:t>
      </w:r>
      <w:r w:rsidR="008309F4">
        <w:t xml:space="preserve"> </w:t>
      </w:r>
      <w:r w:rsidR="004721CB">
        <w:t xml:space="preserve">for that </w:t>
      </w:r>
      <w:r w:rsidR="004721CB">
        <w:rPr>
          <w:i/>
          <w:iCs/>
        </w:rPr>
        <w:t xml:space="preserve">operating schedule </w:t>
      </w:r>
      <w:r w:rsidR="00D23BBE">
        <w:t xml:space="preserve">in </w:t>
      </w:r>
      <w:r w:rsidR="00B24C8E">
        <w:t xml:space="preserve">the </w:t>
      </w:r>
      <w:r w:rsidR="00D23BBE">
        <w:t xml:space="preserve">proportion </w:t>
      </w:r>
      <w:r w:rsidR="00B24C8E">
        <w:t xml:space="preserve">of </w:t>
      </w:r>
      <w:r w:rsidR="00083582">
        <w:t xml:space="preserve">that Market Participant’s </w:t>
      </w:r>
      <w:r w:rsidR="00CF1775">
        <w:t xml:space="preserve">positive </w:t>
      </w:r>
      <w:r w:rsidR="00CF1775" w:rsidRPr="004721CB">
        <w:rPr>
          <w:i/>
          <w:iCs/>
        </w:rPr>
        <w:t>surprise uplift quantity</w:t>
      </w:r>
      <w:r w:rsidR="00D23BBE">
        <w:t xml:space="preserve"> </w:t>
      </w:r>
      <w:r w:rsidR="00CF1775">
        <w:t xml:space="preserve">to </w:t>
      </w:r>
      <w:r w:rsidR="00D23BBE">
        <w:t xml:space="preserve">the </w:t>
      </w:r>
      <w:r w:rsidR="00CF1775">
        <w:t>sum of the</w:t>
      </w:r>
      <w:r w:rsidR="00D23BBE">
        <w:t xml:space="preserve"> </w:t>
      </w:r>
      <w:r w:rsidR="00A9510A">
        <w:t xml:space="preserve">positive </w:t>
      </w:r>
      <w:r w:rsidR="00A9510A" w:rsidRPr="00B24C8E">
        <w:rPr>
          <w:i/>
          <w:iCs/>
        </w:rPr>
        <w:t>surprise uplift quanti</w:t>
      </w:r>
      <w:r w:rsidR="00CF1775" w:rsidRPr="00B24C8E">
        <w:rPr>
          <w:i/>
          <w:iCs/>
        </w:rPr>
        <w:t>ties</w:t>
      </w:r>
      <w:r w:rsidR="00A9510A">
        <w:t xml:space="preserve"> for all </w:t>
      </w:r>
      <w:r w:rsidR="00A9510A" w:rsidRPr="00E347D5">
        <w:rPr>
          <w:i/>
          <w:iCs/>
        </w:rPr>
        <w:t>Market Participants</w:t>
      </w:r>
      <w:r w:rsidR="00E347D5">
        <w:t xml:space="preserve"> for that </w:t>
      </w:r>
      <w:r w:rsidR="00E347D5">
        <w:rPr>
          <w:i/>
          <w:iCs/>
        </w:rPr>
        <w:t>operating schedule</w:t>
      </w:r>
      <w:r w:rsidR="005E6551">
        <w:t>.</w:t>
      </w:r>
    </w:p>
    <w:p w14:paraId="774034E1" w14:textId="3BEDF844" w:rsidR="00E347D5" w:rsidRDefault="00E347D5" w:rsidP="00E347D5">
      <w:pPr>
        <w:pStyle w:val="Listi"/>
      </w:pPr>
      <w:r>
        <w:t xml:space="preserve">If the </w:t>
      </w:r>
      <w:r w:rsidR="008800CA">
        <w:rPr>
          <w:i/>
          <w:iCs/>
        </w:rPr>
        <w:t>modified</w:t>
      </w:r>
      <w:r>
        <w:rPr>
          <w:i/>
          <w:iCs/>
        </w:rPr>
        <w:t xml:space="preserve"> surprise </w:t>
      </w:r>
      <w:r w:rsidR="00664B52">
        <w:rPr>
          <w:i/>
          <w:iCs/>
        </w:rPr>
        <w:t>quantity</w:t>
      </w:r>
      <w:r>
        <w:t xml:space="preserve"> is negative, as a proportional share of the </w:t>
      </w:r>
      <w:r w:rsidRPr="004721CB">
        <w:rPr>
          <w:i/>
          <w:iCs/>
        </w:rPr>
        <w:t>residual surprise quantity</w:t>
      </w:r>
      <w:r>
        <w:t xml:space="preserve"> for that </w:t>
      </w:r>
      <w:r>
        <w:rPr>
          <w:i/>
          <w:iCs/>
        </w:rPr>
        <w:t xml:space="preserve">operating schedule </w:t>
      </w:r>
      <w:r>
        <w:t xml:space="preserve">in the proportion of that Market Participant’s </w:t>
      </w:r>
      <w:r w:rsidR="004C7851">
        <w:t>negative</w:t>
      </w:r>
      <w:r>
        <w:t xml:space="preserve"> </w:t>
      </w:r>
      <w:r w:rsidRPr="004721CB">
        <w:rPr>
          <w:i/>
          <w:iCs/>
        </w:rPr>
        <w:t>surprise uplift quantity</w:t>
      </w:r>
      <w:r>
        <w:t xml:space="preserve"> to the sum of the </w:t>
      </w:r>
      <w:r w:rsidR="004C7851">
        <w:t xml:space="preserve">negative </w:t>
      </w:r>
      <w:r w:rsidRPr="00B24C8E">
        <w:rPr>
          <w:i/>
          <w:iCs/>
        </w:rPr>
        <w:t>surprise uplift quantities</w:t>
      </w:r>
      <w:r>
        <w:t xml:space="preserve"> for all </w:t>
      </w:r>
      <w:r w:rsidRPr="00E347D5">
        <w:rPr>
          <w:i/>
          <w:iCs/>
        </w:rPr>
        <w:t>Market Participants</w:t>
      </w:r>
      <w:r>
        <w:t xml:space="preserve"> for that </w:t>
      </w:r>
      <w:r>
        <w:rPr>
          <w:i/>
          <w:iCs/>
        </w:rPr>
        <w:t>operating schedule</w:t>
      </w:r>
      <w:r>
        <w:t>.</w:t>
      </w:r>
    </w:p>
    <w:p w14:paraId="07688308" w14:textId="0077CCC4" w:rsidR="005158AC" w:rsidRDefault="00DB12A2" w:rsidP="005158AC">
      <w:pPr>
        <w:pStyle w:val="Heading2"/>
      </w:pPr>
      <w:bookmarkStart w:id="80" w:name="_Toc62480216"/>
      <w:r>
        <w:t xml:space="preserve">Determination of the </w:t>
      </w:r>
      <w:r w:rsidR="009A36F8">
        <w:t>surprise</w:t>
      </w:r>
      <w:r>
        <w:t xml:space="preserve"> uplift </w:t>
      </w:r>
      <w:r w:rsidR="0006173B">
        <w:t>amount</w:t>
      </w:r>
      <w:r>
        <w:t xml:space="preserve"> for </w:t>
      </w:r>
      <w:r w:rsidR="006211D4">
        <w:t xml:space="preserve">market participant for </w:t>
      </w:r>
      <w:r>
        <w:t>each schedule</w:t>
      </w:r>
      <w:bookmarkEnd w:id="80"/>
    </w:p>
    <w:p w14:paraId="765379F1" w14:textId="46F8B7B3" w:rsidR="00DB12A2" w:rsidRDefault="00DB12A2" w:rsidP="00DB12A2">
      <w:pPr>
        <w:pStyle w:val="ResetPara"/>
      </w:pPr>
    </w:p>
    <w:p w14:paraId="4EAC1E80" w14:textId="0974ADCE" w:rsidR="00DB12A2" w:rsidRDefault="00180F5A" w:rsidP="00A94107">
      <w:pPr>
        <w:pStyle w:val="Lista"/>
      </w:pPr>
      <w:r>
        <w:t xml:space="preserve">A </w:t>
      </w:r>
      <w:r>
        <w:rPr>
          <w:i/>
          <w:iCs/>
        </w:rPr>
        <w:t>Mark</w:t>
      </w:r>
      <w:r w:rsidR="006211D4">
        <w:rPr>
          <w:i/>
          <w:iCs/>
        </w:rPr>
        <w:t>e</w:t>
      </w:r>
      <w:r>
        <w:rPr>
          <w:i/>
          <w:iCs/>
        </w:rPr>
        <w:t>t Participant</w:t>
      </w:r>
      <w:r w:rsidR="0006173B">
        <w:rPr>
          <w:i/>
          <w:iCs/>
        </w:rPr>
        <w:t xml:space="preserve">’s </w:t>
      </w:r>
      <w:r w:rsidR="00D95AE5">
        <w:rPr>
          <w:i/>
          <w:iCs/>
        </w:rPr>
        <w:t xml:space="preserve">surprise uplift amount </w:t>
      </w:r>
      <w:r w:rsidR="00D95AE5">
        <w:t xml:space="preserve">for an </w:t>
      </w:r>
      <w:r w:rsidR="00D95AE5">
        <w:rPr>
          <w:i/>
          <w:iCs/>
        </w:rPr>
        <w:t>operating schedule</w:t>
      </w:r>
      <w:r w:rsidR="00D95AE5">
        <w:t xml:space="preserve"> </w:t>
      </w:r>
      <w:r w:rsidR="00596CE9">
        <w:t>must be determined by AEMO as:</w:t>
      </w:r>
    </w:p>
    <w:p w14:paraId="240AB93B" w14:textId="1A4B921B" w:rsidR="00596CE9" w:rsidRPr="008D197C" w:rsidRDefault="00A82587" w:rsidP="00596CE9">
      <w:pPr>
        <w:pStyle w:val="Listi"/>
      </w:pPr>
      <w:r>
        <w:t xml:space="preserve">If </w:t>
      </w:r>
      <w:r w:rsidR="00CE70A0">
        <w:t xml:space="preserve">the final </w:t>
      </w:r>
      <w:r>
        <w:rPr>
          <w:i/>
          <w:iCs/>
        </w:rPr>
        <w:t xml:space="preserve">surprise uplift </w:t>
      </w:r>
      <w:r w:rsidR="00632F71">
        <w:rPr>
          <w:i/>
          <w:iCs/>
        </w:rPr>
        <w:t>amount</w:t>
      </w:r>
      <w:r w:rsidR="00632F71">
        <w:t xml:space="preserve"> for</w:t>
      </w:r>
      <w:r>
        <w:t xml:space="preserve"> the </w:t>
      </w:r>
      <w:r w:rsidR="00295426">
        <w:rPr>
          <w:i/>
          <w:iCs/>
        </w:rPr>
        <w:t>Market Participant</w:t>
      </w:r>
      <w:r w:rsidR="008D197C">
        <w:rPr>
          <w:i/>
          <w:iCs/>
        </w:rPr>
        <w:t xml:space="preserve"> </w:t>
      </w:r>
      <w:r w:rsidR="008D197C" w:rsidRPr="008D197C">
        <w:t>is positive</w:t>
      </w:r>
      <w:r w:rsidR="008D197C">
        <w:rPr>
          <w:i/>
          <w:iCs/>
        </w:rPr>
        <w:t xml:space="preserve">, the </w:t>
      </w:r>
      <w:r w:rsidR="009415D7">
        <w:t xml:space="preserve">final </w:t>
      </w:r>
      <w:r w:rsidR="009415D7" w:rsidRPr="00B75992">
        <w:rPr>
          <w:i/>
          <w:iCs/>
        </w:rPr>
        <w:t xml:space="preserve">surprise uplift </w:t>
      </w:r>
      <w:r w:rsidR="006211D4" w:rsidRPr="00B75992">
        <w:rPr>
          <w:i/>
          <w:iCs/>
        </w:rPr>
        <w:t>quantity</w:t>
      </w:r>
      <w:r w:rsidR="009415D7">
        <w:t xml:space="preserve"> </w:t>
      </w:r>
      <w:r w:rsidR="00B75992">
        <w:t xml:space="preserve">multiplied by the </w:t>
      </w:r>
      <w:r w:rsidR="00661E98" w:rsidRPr="00661E98">
        <w:rPr>
          <w:i/>
          <w:iCs/>
        </w:rPr>
        <w:t>positive ancillary payment rate</w:t>
      </w:r>
    </w:p>
    <w:p w14:paraId="28D493AB" w14:textId="5200457F" w:rsidR="008D197C" w:rsidRPr="00DB12A2" w:rsidRDefault="008D197C" w:rsidP="00585E4D">
      <w:pPr>
        <w:pStyle w:val="Listi"/>
      </w:pPr>
      <w:r>
        <w:t xml:space="preserve">If </w:t>
      </w:r>
      <w:r w:rsidR="00585E4D">
        <w:t xml:space="preserve">the final </w:t>
      </w:r>
      <w:r>
        <w:rPr>
          <w:i/>
          <w:iCs/>
        </w:rPr>
        <w:t xml:space="preserve">surprise uplift </w:t>
      </w:r>
      <w:r w:rsidR="00632F71">
        <w:rPr>
          <w:i/>
          <w:iCs/>
        </w:rPr>
        <w:t>amount</w:t>
      </w:r>
      <w:r w:rsidR="00632F71">
        <w:t xml:space="preserve"> for</w:t>
      </w:r>
      <w:r>
        <w:t xml:space="preserve"> the </w:t>
      </w:r>
      <w:r>
        <w:rPr>
          <w:i/>
          <w:iCs/>
        </w:rPr>
        <w:t xml:space="preserve">Market Participant </w:t>
      </w:r>
      <w:r w:rsidRPr="008D197C">
        <w:t xml:space="preserve">is </w:t>
      </w:r>
      <w:r>
        <w:t>negative</w:t>
      </w:r>
      <w:r>
        <w:rPr>
          <w:i/>
          <w:iCs/>
        </w:rPr>
        <w:t xml:space="preserve">, the </w:t>
      </w:r>
      <w:r>
        <w:t xml:space="preserve">final </w:t>
      </w:r>
      <w:r w:rsidRPr="00B75992">
        <w:rPr>
          <w:i/>
          <w:iCs/>
        </w:rPr>
        <w:t xml:space="preserve">surprise uplift </w:t>
      </w:r>
      <w:r w:rsidR="006211D4" w:rsidRPr="00B75992">
        <w:rPr>
          <w:i/>
          <w:iCs/>
        </w:rPr>
        <w:t>quantity</w:t>
      </w:r>
      <w:r>
        <w:t xml:space="preserve"> multiplied by the </w:t>
      </w:r>
      <w:r>
        <w:rPr>
          <w:i/>
          <w:iCs/>
        </w:rPr>
        <w:t>negative</w:t>
      </w:r>
      <w:r w:rsidRPr="00661E98">
        <w:rPr>
          <w:i/>
          <w:iCs/>
        </w:rPr>
        <w:t xml:space="preserve"> ancillary payment rate</w:t>
      </w:r>
    </w:p>
    <w:p w14:paraId="25D89452" w14:textId="2066104F" w:rsidR="006963BF" w:rsidRDefault="006963BF" w:rsidP="006963BF">
      <w:pPr>
        <w:pStyle w:val="Heading1"/>
      </w:pPr>
      <w:bookmarkStart w:id="81" w:name="_Toc62480217"/>
      <w:r>
        <w:t>common uplift category</w:t>
      </w:r>
      <w:bookmarkEnd w:id="81"/>
    </w:p>
    <w:p w14:paraId="068C627F" w14:textId="7C0CA9CC" w:rsidR="00585E4D" w:rsidRDefault="00585E4D" w:rsidP="00585E4D">
      <w:pPr>
        <w:pStyle w:val="ResetPara"/>
      </w:pPr>
    </w:p>
    <w:p w14:paraId="0CDAE389" w14:textId="562A7813" w:rsidR="00585E4D" w:rsidRDefault="006F6452" w:rsidP="00585E4D">
      <w:pPr>
        <w:pStyle w:val="Heading2"/>
      </w:pPr>
      <w:bookmarkStart w:id="82" w:name="_Toc62480218"/>
      <w:r>
        <w:t>General</w:t>
      </w:r>
      <w:bookmarkEnd w:id="82"/>
    </w:p>
    <w:p w14:paraId="364D5562" w14:textId="2D1F1BA4" w:rsidR="006F6452" w:rsidRDefault="006F6452" w:rsidP="006F6452">
      <w:pPr>
        <w:pStyle w:val="ResetPara"/>
      </w:pPr>
    </w:p>
    <w:p w14:paraId="164FE9C7" w14:textId="277D9D65" w:rsidR="00397489" w:rsidRDefault="006F6452" w:rsidP="00397489">
      <w:pPr>
        <w:pStyle w:val="Lista"/>
      </w:pPr>
      <w:r w:rsidRPr="00FE6CE1">
        <w:rPr>
          <w:i/>
          <w:iCs/>
        </w:rPr>
        <w:t xml:space="preserve">Common uplift </w:t>
      </w:r>
      <w:r>
        <w:t xml:space="preserve">is determined by AEMO for every </w:t>
      </w:r>
      <w:r w:rsidRPr="00FE6CE1">
        <w:rPr>
          <w:i/>
          <w:iCs/>
        </w:rPr>
        <w:t>operating schedule</w:t>
      </w:r>
      <w:r>
        <w:t xml:space="preserve"> for </w:t>
      </w:r>
      <w:r w:rsidR="009D647B">
        <w:t xml:space="preserve">every </w:t>
      </w:r>
      <w:r w:rsidR="009D647B" w:rsidRPr="00FE6CE1">
        <w:rPr>
          <w:i/>
          <w:iCs/>
        </w:rPr>
        <w:t>gas day</w:t>
      </w:r>
      <w:r w:rsidR="009D647B">
        <w:t xml:space="preserve">, </w:t>
      </w:r>
      <w:r w:rsidR="00904C20">
        <w:t xml:space="preserve">after the </w:t>
      </w:r>
      <w:r w:rsidR="00904C20" w:rsidRPr="00FE6CE1">
        <w:rPr>
          <w:i/>
          <w:iCs/>
        </w:rPr>
        <w:t>DTS SP uplift</w:t>
      </w:r>
      <w:r w:rsidR="00904C20">
        <w:t xml:space="preserve">, </w:t>
      </w:r>
      <w:r w:rsidR="00904C20" w:rsidRPr="00FE6CE1">
        <w:rPr>
          <w:i/>
          <w:iCs/>
        </w:rPr>
        <w:t xml:space="preserve">DTS SP event liability cap exceedance </w:t>
      </w:r>
      <w:r w:rsidR="00632F71" w:rsidRPr="00FE6CE1">
        <w:rPr>
          <w:i/>
          <w:iCs/>
        </w:rPr>
        <w:t>uplift</w:t>
      </w:r>
      <w:r w:rsidR="00632F71">
        <w:t>,</w:t>
      </w:r>
      <w:r w:rsidR="00904C20">
        <w:t xml:space="preserve"> </w:t>
      </w:r>
      <w:r w:rsidR="00904C20" w:rsidRPr="00FE6CE1">
        <w:rPr>
          <w:i/>
          <w:iCs/>
        </w:rPr>
        <w:t>DTS SP annual liability cap exceedance uplift</w:t>
      </w:r>
      <w:r w:rsidR="00904C20">
        <w:t>, and s</w:t>
      </w:r>
      <w:r w:rsidR="00904C20" w:rsidRPr="00FE6CE1">
        <w:rPr>
          <w:i/>
          <w:iCs/>
        </w:rPr>
        <w:t>urprise uplift</w:t>
      </w:r>
      <w:r w:rsidR="00FE6CE1">
        <w:t xml:space="preserve"> have been determined</w:t>
      </w:r>
      <w:r w:rsidR="00397489">
        <w:t>.</w:t>
      </w:r>
    </w:p>
    <w:p w14:paraId="6FD85365" w14:textId="3682B9FA" w:rsidR="00F520EF" w:rsidRDefault="00397489" w:rsidP="00397489">
      <w:pPr>
        <w:pStyle w:val="Lista"/>
      </w:pPr>
      <w:r>
        <w:rPr>
          <w:i/>
          <w:iCs/>
        </w:rPr>
        <w:lastRenderedPageBreak/>
        <w:t xml:space="preserve">Common uplift </w:t>
      </w:r>
      <w:r>
        <w:t xml:space="preserve">is determined as an </w:t>
      </w:r>
      <w:r w:rsidR="00F93E95" w:rsidRPr="00F93E95">
        <w:rPr>
          <w:i/>
          <w:iCs/>
        </w:rPr>
        <w:t xml:space="preserve">uplift </w:t>
      </w:r>
      <w:r w:rsidR="00037013">
        <w:rPr>
          <w:i/>
          <w:iCs/>
        </w:rPr>
        <w:t xml:space="preserve">payment </w:t>
      </w:r>
      <w:r w:rsidR="00F93E95" w:rsidRPr="00F93E95">
        <w:rPr>
          <w:i/>
          <w:iCs/>
        </w:rPr>
        <w:t>amount</w:t>
      </w:r>
      <w:r w:rsidR="00F93E95">
        <w:t xml:space="preserve">, from which the </w:t>
      </w:r>
      <w:r w:rsidR="00F93E95">
        <w:rPr>
          <w:i/>
          <w:iCs/>
        </w:rPr>
        <w:t xml:space="preserve">uplift </w:t>
      </w:r>
      <w:r w:rsidR="00A869B7">
        <w:rPr>
          <w:i/>
          <w:iCs/>
        </w:rPr>
        <w:t xml:space="preserve">payment </w:t>
      </w:r>
      <w:r w:rsidR="00F93E95">
        <w:rPr>
          <w:i/>
          <w:iCs/>
        </w:rPr>
        <w:t>quantity</w:t>
      </w:r>
      <w:r w:rsidR="00F93E95">
        <w:t xml:space="preserve"> is </w:t>
      </w:r>
      <w:r w:rsidR="00632F71">
        <w:t>estimated.</w:t>
      </w:r>
    </w:p>
    <w:p w14:paraId="1184CD45" w14:textId="27683AB9" w:rsidR="00701601" w:rsidRPr="00701601" w:rsidRDefault="00AB6671" w:rsidP="00EB6FD3">
      <w:pPr>
        <w:pStyle w:val="Lista"/>
      </w:pPr>
      <w:commentRangeStart w:id="83"/>
      <w:r>
        <w:t xml:space="preserve">Common uplift includes any </w:t>
      </w:r>
      <w:r w:rsidR="00701601" w:rsidRPr="00701601">
        <w:t>DTS SP event liability cap exceedance uplift</w:t>
      </w:r>
      <w:r w:rsidR="00701601">
        <w:t xml:space="preserve"> and </w:t>
      </w:r>
      <w:r w:rsidR="00701601" w:rsidRPr="00701601">
        <w:t xml:space="preserve">DTS SP </w:t>
      </w:r>
      <w:r w:rsidR="00701601">
        <w:t>annual</w:t>
      </w:r>
      <w:r w:rsidR="00701601" w:rsidRPr="00701601">
        <w:t xml:space="preserve"> liability cap exceedance uplift</w:t>
      </w:r>
      <w:r w:rsidR="00BE6417">
        <w:t xml:space="preserve"> payments to the DTS SP</w:t>
      </w:r>
      <w:r w:rsidR="00C420E5">
        <w:t xml:space="preserve"> </w:t>
      </w:r>
      <w:commentRangeEnd w:id="83"/>
      <w:r w:rsidR="00852082">
        <w:rPr>
          <w:rStyle w:val="CommentReference"/>
          <w:rFonts w:eastAsia="Calibri" w:cs="Times New Roman"/>
        </w:rPr>
        <w:commentReference w:id="83"/>
      </w:r>
    </w:p>
    <w:p w14:paraId="1D744077" w14:textId="607ECB22" w:rsidR="006F6452" w:rsidRDefault="00A869B7" w:rsidP="00F520EF">
      <w:pPr>
        <w:pStyle w:val="Lista"/>
      </w:pPr>
      <w:r>
        <w:rPr>
          <w:i/>
          <w:iCs/>
        </w:rPr>
        <w:t>Common uplift</w:t>
      </w:r>
      <w:r>
        <w:t xml:space="preserve"> </w:t>
      </w:r>
      <w:r w:rsidR="009D647B">
        <w:t>is allocated to Market Participants</w:t>
      </w:r>
      <w:r w:rsidR="002C2876">
        <w:t xml:space="preserve"> </w:t>
      </w:r>
      <w:r w:rsidR="00B92395">
        <w:t xml:space="preserve">in proportion to their </w:t>
      </w:r>
      <w:r w:rsidR="001669E0">
        <w:t>a</w:t>
      </w:r>
      <w:r w:rsidR="001669E0">
        <w:rPr>
          <w:i/>
          <w:iCs/>
        </w:rPr>
        <w:t>djusted</w:t>
      </w:r>
      <w:r w:rsidR="002C1063">
        <w:t xml:space="preserve"> </w:t>
      </w:r>
      <w:r w:rsidR="002C2876" w:rsidRPr="001669E0">
        <w:rPr>
          <w:i/>
          <w:iCs/>
        </w:rPr>
        <w:t>withdrawals</w:t>
      </w:r>
      <w:r w:rsidR="002C2876">
        <w:t xml:space="preserve"> from the DTS.</w:t>
      </w:r>
    </w:p>
    <w:p w14:paraId="7CDD1E2B" w14:textId="60166783" w:rsidR="002C2876" w:rsidRDefault="006F4B9D" w:rsidP="006F4B9D">
      <w:pPr>
        <w:pStyle w:val="Heading2"/>
      </w:pPr>
      <w:bookmarkStart w:id="84" w:name="_Toc62480219"/>
      <w:r>
        <w:t>Common upl</w:t>
      </w:r>
      <w:r w:rsidR="00F520EF">
        <w:t>ift amounts</w:t>
      </w:r>
      <w:bookmarkEnd w:id="84"/>
    </w:p>
    <w:p w14:paraId="568E0107" w14:textId="7E8C87ED" w:rsidR="00A869B7" w:rsidRDefault="00A869B7" w:rsidP="00A869B7">
      <w:pPr>
        <w:pStyle w:val="ResetPara"/>
      </w:pPr>
    </w:p>
    <w:p w14:paraId="704790A5" w14:textId="14082EC2" w:rsidR="00A869B7" w:rsidRDefault="00743743" w:rsidP="00A869B7">
      <w:pPr>
        <w:pStyle w:val="Lista"/>
      </w:pPr>
      <w:r>
        <w:t xml:space="preserve">The total </w:t>
      </w:r>
      <w:r>
        <w:rPr>
          <w:i/>
          <w:iCs/>
        </w:rPr>
        <w:t>common uplift payment amount</w:t>
      </w:r>
      <w:r>
        <w:t xml:space="preserve"> for an </w:t>
      </w:r>
      <w:r>
        <w:rPr>
          <w:i/>
          <w:iCs/>
        </w:rPr>
        <w:t>operating schedule</w:t>
      </w:r>
      <w:r>
        <w:t xml:space="preserve"> for a </w:t>
      </w:r>
      <w:r>
        <w:rPr>
          <w:i/>
          <w:iCs/>
        </w:rPr>
        <w:t>gas day</w:t>
      </w:r>
      <w:r>
        <w:t xml:space="preserve"> is determined by AEMO as </w:t>
      </w:r>
      <w:r w:rsidR="001C0449">
        <w:t xml:space="preserve">the </w:t>
      </w:r>
      <w:r w:rsidR="001C0449" w:rsidRPr="005A63D4">
        <w:rPr>
          <w:i/>
          <w:iCs/>
          <w:lang w:eastAsia="en-AU"/>
        </w:rPr>
        <w:t xml:space="preserve">total uplift payment </w:t>
      </w:r>
      <w:r w:rsidR="005A63D4" w:rsidRPr="005A63D4">
        <w:rPr>
          <w:i/>
          <w:iCs/>
          <w:lang w:eastAsia="en-AU"/>
        </w:rPr>
        <w:t>amount</w:t>
      </w:r>
      <w:r w:rsidR="005A63D4">
        <w:rPr>
          <w:lang w:eastAsia="en-AU"/>
        </w:rPr>
        <w:t xml:space="preserve"> </w:t>
      </w:r>
      <w:r w:rsidR="008A2345">
        <w:rPr>
          <w:lang w:eastAsia="en-AU"/>
        </w:rPr>
        <w:t xml:space="preserve">less the </w:t>
      </w:r>
      <w:r w:rsidR="00FD7738">
        <w:rPr>
          <w:lang w:eastAsia="en-AU"/>
        </w:rPr>
        <w:t xml:space="preserve">sum of the </w:t>
      </w:r>
      <w:r w:rsidR="00FD7738" w:rsidRPr="000F1D2A">
        <w:rPr>
          <w:i/>
          <w:iCs/>
        </w:rPr>
        <w:t>DTS SP uplift amount</w:t>
      </w:r>
      <w:r w:rsidR="001C10A2">
        <w:t>, the</w:t>
      </w:r>
      <w:r w:rsidR="00FD7738">
        <w:t xml:space="preserve"> </w:t>
      </w:r>
      <w:r w:rsidR="001C10A2" w:rsidRPr="000F1D2A">
        <w:rPr>
          <w:i/>
          <w:iCs/>
        </w:rPr>
        <w:t xml:space="preserve">DTS SP </w:t>
      </w:r>
      <w:r w:rsidR="001C10A2">
        <w:rPr>
          <w:i/>
          <w:iCs/>
        </w:rPr>
        <w:t>event</w:t>
      </w:r>
      <w:r w:rsidR="001C10A2" w:rsidRPr="000F1D2A">
        <w:rPr>
          <w:i/>
          <w:iCs/>
        </w:rPr>
        <w:t xml:space="preserve"> liability cap exceedance uplift amount</w:t>
      </w:r>
      <w:r w:rsidR="001C10A2">
        <w:t xml:space="preserve">, the </w:t>
      </w:r>
      <w:r w:rsidR="008A2345" w:rsidRPr="000F1D2A">
        <w:rPr>
          <w:i/>
          <w:iCs/>
        </w:rPr>
        <w:t>DTS SP annual liability cap exceedance uplift amount</w:t>
      </w:r>
      <w:r w:rsidR="001C10A2">
        <w:t xml:space="preserve"> and the total </w:t>
      </w:r>
      <w:r w:rsidR="00956DF7">
        <w:t xml:space="preserve">of </w:t>
      </w:r>
      <w:r w:rsidR="00EA76E4">
        <w:t xml:space="preserve">the </w:t>
      </w:r>
      <w:r w:rsidR="00EA76E4">
        <w:rPr>
          <w:i/>
          <w:iCs/>
        </w:rPr>
        <w:t>surprise uplift amount</w:t>
      </w:r>
      <w:r w:rsidR="00EA76E4">
        <w:t xml:space="preserve"> for all </w:t>
      </w:r>
      <w:r w:rsidR="00EA76E4">
        <w:rPr>
          <w:i/>
          <w:iCs/>
        </w:rPr>
        <w:t>Market Participants</w:t>
      </w:r>
      <w:r w:rsidR="00DC3776">
        <w:t>.</w:t>
      </w:r>
    </w:p>
    <w:p w14:paraId="18F67D9A" w14:textId="2ABD9CC6" w:rsidR="001278D8" w:rsidRDefault="001278D8" w:rsidP="00847B78">
      <w:pPr>
        <w:pStyle w:val="List"/>
        <w:ind w:left="1276" w:firstLine="0"/>
      </w:pPr>
      <w:commentRangeStart w:id="85"/>
      <w:r>
        <w:t xml:space="preserve">For the avoidance of doubt, because </w:t>
      </w:r>
      <w:r w:rsidR="00F45020">
        <w:t xml:space="preserve">any </w:t>
      </w:r>
      <w:r w:rsidRPr="001278D8">
        <w:t>DTS SP event liability cap exceedance uplift</w:t>
      </w:r>
      <w:r w:rsidR="00847B78">
        <w:t xml:space="preserve"> </w:t>
      </w:r>
      <w:r w:rsidR="00F45020">
        <w:t>and</w:t>
      </w:r>
      <w:r w:rsidR="00847B78">
        <w:t xml:space="preserve"> </w:t>
      </w:r>
      <w:r w:rsidR="00F45020">
        <w:t xml:space="preserve">any </w:t>
      </w:r>
      <w:r w:rsidR="00847B78" w:rsidRPr="00847B78">
        <w:t xml:space="preserve">DTS SP </w:t>
      </w:r>
      <w:r w:rsidR="00847B78">
        <w:t>annual</w:t>
      </w:r>
      <w:r w:rsidR="00847B78" w:rsidRPr="00847B78">
        <w:t xml:space="preserve"> liability cap exceedance uplift</w:t>
      </w:r>
      <w:r w:rsidR="00847B78">
        <w:t xml:space="preserve"> </w:t>
      </w:r>
      <w:r w:rsidR="00F45020">
        <w:t>are</w:t>
      </w:r>
      <w:r w:rsidR="00847B78">
        <w:t xml:space="preserve"> always </w:t>
      </w:r>
      <w:r w:rsidR="00082C40">
        <w:t>a payment to the DTS SP</w:t>
      </w:r>
      <w:r w:rsidR="00F45020">
        <w:t xml:space="preserve">, they </w:t>
      </w:r>
      <w:r w:rsidR="00BE2938">
        <w:t xml:space="preserve">are always recovered through </w:t>
      </w:r>
      <w:r w:rsidR="00727405">
        <w:t>common uplift.</w:t>
      </w:r>
      <w:commentRangeEnd w:id="85"/>
      <w:r w:rsidR="0087121F">
        <w:rPr>
          <w:rStyle w:val="CommentReference"/>
        </w:rPr>
        <w:commentReference w:id="85"/>
      </w:r>
    </w:p>
    <w:p w14:paraId="6D9BC88D" w14:textId="6F9ADD93" w:rsidR="00DC3776" w:rsidRDefault="00F82CA7" w:rsidP="00A869B7">
      <w:pPr>
        <w:pStyle w:val="Lista"/>
      </w:pPr>
      <w:r>
        <w:t xml:space="preserve">A </w:t>
      </w:r>
      <w:r>
        <w:rPr>
          <w:i/>
          <w:iCs/>
        </w:rPr>
        <w:t>Market Participant’s common upl</w:t>
      </w:r>
      <w:r w:rsidR="002C4239">
        <w:rPr>
          <w:i/>
          <w:iCs/>
        </w:rPr>
        <w:t xml:space="preserve">ift payment amount </w:t>
      </w:r>
      <w:r w:rsidR="002C4239">
        <w:t xml:space="preserve">for an </w:t>
      </w:r>
      <w:r w:rsidR="002C4239" w:rsidRPr="002C4239">
        <w:rPr>
          <w:i/>
          <w:iCs/>
        </w:rPr>
        <w:t>operating schedule</w:t>
      </w:r>
      <w:r w:rsidR="002C4239">
        <w:t xml:space="preserve"> for a </w:t>
      </w:r>
      <w:r w:rsidR="002C4239" w:rsidRPr="002C4239">
        <w:rPr>
          <w:i/>
          <w:iCs/>
        </w:rPr>
        <w:t>gas day</w:t>
      </w:r>
      <w:r w:rsidR="002C4239">
        <w:t xml:space="preserve"> is determined by AEMO </w:t>
      </w:r>
      <w:r w:rsidR="008E018E">
        <w:t xml:space="preserve">as a proportionate share of the total </w:t>
      </w:r>
      <w:r w:rsidR="005510D1">
        <w:rPr>
          <w:i/>
          <w:iCs/>
        </w:rPr>
        <w:t xml:space="preserve">common uplift payment amount </w:t>
      </w:r>
      <w:r w:rsidR="005510D1">
        <w:t xml:space="preserve">in the ratio of the </w:t>
      </w:r>
      <w:r w:rsidR="00E87164">
        <w:rPr>
          <w:i/>
          <w:iCs/>
        </w:rPr>
        <w:t>Market</w:t>
      </w:r>
      <w:r w:rsidR="005510D1">
        <w:rPr>
          <w:i/>
          <w:iCs/>
        </w:rPr>
        <w:t xml:space="preserve"> Participant’s </w:t>
      </w:r>
      <w:r w:rsidR="00B133ED">
        <w:t>a</w:t>
      </w:r>
      <w:r w:rsidR="00B133ED" w:rsidRPr="00327FA2">
        <w:rPr>
          <w:i/>
          <w:iCs/>
        </w:rPr>
        <w:t xml:space="preserve">djusted </w:t>
      </w:r>
      <w:r w:rsidR="005510D1" w:rsidRPr="00327FA2">
        <w:rPr>
          <w:i/>
          <w:iCs/>
        </w:rPr>
        <w:t>withdraw</w:t>
      </w:r>
      <w:r w:rsidR="00E87164" w:rsidRPr="00327FA2">
        <w:rPr>
          <w:i/>
          <w:iCs/>
        </w:rPr>
        <w:t>al</w:t>
      </w:r>
      <w:r w:rsidR="00B133ED" w:rsidRPr="00327FA2">
        <w:rPr>
          <w:i/>
          <w:iCs/>
        </w:rPr>
        <w:t>s</w:t>
      </w:r>
      <w:r w:rsidR="00E87164">
        <w:rPr>
          <w:i/>
          <w:iCs/>
        </w:rPr>
        <w:t xml:space="preserve"> </w:t>
      </w:r>
      <w:r w:rsidR="00E87164">
        <w:t xml:space="preserve">from the </w:t>
      </w:r>
      <w:r w:rsidR="00E87164">
        <w:rPr>
          <w:i/>
          <w:iCs/>
        </w:rPr>
        <w:t>DTS</w:t>
      </w:r>
      <w:r w:rsidR="00E87164">
        <w:t xml:space="preserve"> to the total of all </w:t>
      </w:r>
      <w:r w:rsidR="00E87164">
        <w:rPr>
          <w:i/>
          <w:iCs/>
        </w:rPr>
        <w:t xml:space="preserve">Market Participant’s </w:t>
      </w:r>
      <w:r w:rsidR="00DB3F22">
        <w:t>a</w:t>
      </w:r>
      <w:r w:rsidR="00DB3F22">
        <w:rPr>
          <w:i/>
          <w:iCs/>
        </w:rPr>
        <w:t>djusted</w:t>
      </w:r>
      <w:r w:rsidR="00DB3F22">
        <w:t xml:space="preserve"> </w:t>
      </w:r>
      <w:r w:rsidR="00DB3F22" w:rsidRPr="001669E0">
        <w:rPr>
          <w:i/>
          <w:iCs/>
        </w:rPr>
        <w:t>withdrawals</w:t>
      </w:r>
      <w:r w:rsidR="00DB3F22" w:rsidRPr="00E87164">
        <w:t xml:space="preserve"> </w:t>
      </w:r>
      <w:r w:rsidR="00E87164">
        <w:t xml:space="preserve">from the </w:t>
      </w:r>
      <w:r w:rsidR="00E87164">
        <w:rPr>
          <w:i/>
          <w:iCs/>
        </w:rPr>
        <w:t>DTS</w:t>
      </w:r>
      <w:r w:rsidR="0097574E">
        <w:rPr>
          <w:i/>
          <w:iCs/>
        </w:rPr>
        <w:t>.</w:t>
      </w:r>
    </w:p>
    <w:p w14:paraId="7BC24AEC" w14:textId="0A0A319B" w:rsidR="0097574E" w:rsidRDefault="0097574E" w:rsidP="0097574E">
      <w:pPr>
        <w:pStyle w:val="ResetPara"/>
      </w:pPr>
    </w:p>
    <w:p w14:paraId="441DC978" w14:textId="5DDB438B" w:rsidR="0097574E" w:rsidRDefault="00FD49B4" w:rsidP="0097574E">
      <w:pPr>
        <w:pStyle w:val="Heading2"/>
      </w:pPr>
      <w:bookmarkStart w:id="86" w:name="_Toc62480220"/>
      <w:r>
        <w:t>Estimated c</w:t>
      </w:r>
      <w:r w:rsidR="0097574E">
        <w:t xml:space="preserve">ommon uplift payment </w:t>
      </w:r>
      <w:r w:rsidR="00EC470E">
        <w:t>quantities</w:t>
      </w:r>
      <w:bookmarkEnd w:id="86"/>
    </w:p>
    <w:p w14:paraId="2B8B12F1" w14:textId="3E426B9E" w:rsidR="00FD49B4" w:rsidRDefault="00FD49B4" w:rsidP="00FD49B4">
      <w:pPr>
        <w:pStyle w:val="ResetPara"/>
      </w:pPr>
    </w:p>
    <w:p w14:paraId="2B8873BD" w14:textId="4C7A32C8" w:rsidR="009A690B" w:rsidRDefault="009A690B" w:rsidP="009A690B">
      <w:pPr>
        <w:pStyle w:val="Lista"/>
      </w:pPr>
      <w:r>
        <w:t xml:space="preserve">The estimated total </w:t>
      </w:r>
      <w:r>
        <w:rPr>
          <w:i/>
          <w:iCs/>
        </w:rPr>
        <w:t xml:space="preserve">common uplift payment </w:t>
      </w:r>
      <w:r w:rsidR="00EC470E">
        <w:rPr>
          <w:i/>
          <w:iCs/>
        </w:rPr>
        <w:t>quantity</w:t>
      </w:r>
      <w:r>
        <w:t xml:space="preserve"> for an </w:t>
      </w:r>
      <w:r>
        <w:rPr>
          <w:i/>
          <w:iCs/>
        </w:rPr>
        <w:t>operating schedule</w:t>
      </w:r>
      <w:r>
        <w:t xml:space="preserve"> for a </w:t>
      </w:r>
      <w:r>
        <w:rPr>
          <w:i/>
          <w:iCs/>
        </w:rPr>
        <w:t>gas day</w:t>
      </w:r>
      <w:r>
        <w:t xml:space="preserve"> is determined by AEMO as the </w:t>
      </w:r>
      <w:r w:rsidRPr="005A63D4">
        <w:rPr>
          <w:i/>
          <w:iCs/>
          <w:lang w:eastAsia="en-AU"/>
        </w:rPr>
        <w:t xml:space="preserve">total uplift payment </w:t>
      </w:r>
      <w:r w:rsidR="00414491">
        <w:rPr>
          <w:i/>
          <w:iCs/>
          <w:lang w:eastAsia="en-AU"/>
        </w:rPr>
        <w:t>quantity</w:t>
      </w:r>
      <w:r>
        <w:rPr>
          <w:lang w:eastAsia="en-AU"/>
        </w:rPr>
        <w:t xml:space="preserve"> less the sum of the </w:t>
      </w:r>
      <w:r w:rsidRPr="000F1D2A">
        <w:rPr>
          <w:i/>
          <w:iCs/>
        </w:rPr>
        <w:t xml:space="preserve">DTS SP uplift </w:t>
      </w:r>
      <w:r w:rsidR="00414491">
        <w:rPr>
          <w:i/>
          <w:iCs/>
        </w:rPr>
        <w:t>quantity</w:t>
      </w:r>
      <w:r>
        <w:t xml:space="preserve">, the </w:t>
      </w:r>
      <w:r w:rsidRPr="000F1D2A">
        <w:rPr>
          <w:i/>
          <w:iCs/>
        </w:rPr>
        <w:t xml:space="preserve">DTS SP </w:t>
      </w:r>
      <w:r>
        <w:rPr>
          <w:i/>
          <w:iCs/>
        </w:rPr>
        <w:t>event</w:t>
      </w:r>
      <w:r w:rsidRPr="000F1D2A">
        <w:rPr>
          <w:i/>
          <w:iCs/>
        </w:rPr>
        <w:t xml:space="preserve"> liability cap exceedance uplift </w:t>
      </w:r>
      <w:r w:rsidR="00414491">
        <w:rPr>
          <w:i/>
          <w:iCs/>
        </w:rPr>
        <w:t>quantity</w:t>
      </w:r>
      <w:r>
        <w:t xml:space="preserve">, the </w:t>
      </w:r>
      <w:r w:rsidRPr="000F1D2A">
        <w:rPr>
          <w:i/>
          <w:iCs/>
        </w:rPr>
        <w:t xml:space="preserve">DTS SP annual liability cap exceedance uplift </w:t>
      </w:r>
      <w:r w:rsidR="00414491">
        <w:rPr>
          <w:i/>
          <w:iCs/>
        </w:rPr>
        <w:t>quantity</w:t>
      </w:r>
      <w:r>
        <w:t xml:space="preserve"> and the total </w:t>
      </w:r>
      <w:r w:rsidR="00956DF7">
        <w:t xml:space="preserve">of </w:t>
      </w:r>
      <w:r>
        <w:t xml:space="preserve">the </w:t>
      </w:r>
      <w:r>
        <w:rPr>
          <w:i/>
          <w:iCs/>
        </w:rPr>
        <w:t xml:space="preserve">surprise uplift </w:t>
      </w:r>
      <w:r w:rsidR="00EC470E">
        <w:rPr>
          <w:i/>
          <w:iCs/>
        </w:rPr>
        <w:t>quantity</w:t>
      </w:r>
      <w:r>
        <w:t xml:space="preserve"> for all </w:t>
      </w:r>
      <w:r>
        <w:rPr>
          <w:i/>
          <w:iCs/>
        </w:rPr>
        <w:t>Market Participants</w:t>
      </w:r>
      <w:r>
        <w:t>.</w:t>
      </w:r>
    </w:p>
    <w:p w14:paraId="15276F28" w14:textId="2B547CA7" w:rsidR="00FD49B4" w:rsidRPr="00FD49B4" w:rsidRDefault="000846F8" w:rsidP="005C5FB3">
      <w:pPr>
        <w:pStyle w:val="Lista"/>
      </w:pPr>
      <w:r>
        <w:t xml:space="preserve">A </w:t>
      </w:r>
      <w:r>
        <w:rPr>
          <w:i/>
          <w:iCs/>
        </w:rPr>
        <w:t>Market Participant’s</w:t>
      </w:r>
      <w:r>
        <w:t xml:space="preserve"> estimated</w:t>
      </w:r>
      <w:r>
        <w:rPr>
          <w:i/>
          <w:iCs/>
        </w:rPr>
        <w:t xml:space="preserve"> common uplift payment quantity </w:t>
      </w:r>
      <w:r>
        <w:t xml:space="preserve">for an </w:t>
      </w:r>
      <w:r w:rsidRPr="002C4239">
        <w:rPr>
          <w:i/>
          <w:iCs/>
        </w:rPr>
        <w:t>operating schedule</w:t>
      </w:r>
      <w:r>
        <w:t xml:space="preserve"> for a </w:t>
      </w:r>
      <w:r w:rsidRPr="002C4239">
        <w:rPr>
          <w:i/>
          <w:iCs/>
        </w:rPr>
        <w:t>gas day</w:t>
      </w:r>
      <w:r>
        <w:t xml:space="preserve"> is determined by AEMO as a proportionate share of the total </w:t>
      </w:r>
      <w:r>
        <w:rPr>
          <w:i/>
          <w:iCs/>
        </w:rPr>
        <w:t xml:space="preserve">common uplift payment amount </w:t>
      </w:r>
      <w:r>
        <w:t xml:space="preserve">in the ratio of the </w:t>
      </w:r>
      <w:r>
        <w:rPr>
          <w:i/>
          <w:iCs/>
        </w:rPr>
        <w:t xml:space="preserve">Market Participant’s </w:t>
      </w:r>
      <w:r w:rsidR="00327FA2">
        <w:t>a</w:t>
      </w:r>
      <w:r w:rsidR="00327FA2">
        <w:rPr>
          <w:i/>
          <w:iCs/>
        </w:rPr>
        <w:t>djusted</w:t>
      </w:r>
      <w:r w:rsidR="00327FA2">
        <w:t xml:space="preserve"> </w:t>
      </w:r>
      <w:r w:rsidR="00327FA2" w:rsidRPr="001669E0">
        <w:rPr>
          <w:i/>
          <w:iCs/>
        </w:rPr>
        <w:t>withdrawals</w:t>
      </w:r>
      <w:r w:rsidR="00327FA2" w:rsidRPr="00E87164" w:rsidDel="00327FA2">
        <w:t xml:space="preserve"> </w:t>
      </w:r>
      <w:r>
        <w:t xml:space="preserve">from the </w:t>
      </w:r>
      <w:r>
        <w:rPr>
          <w:i/>
          <w:iCs/>
        </w:rPr>
        <w:t>DTS</w:t>
      </w:r>
      <w:r>
        <w:t xml:space="preserve"> to the total of all </w:t>
      </w:r>
      <w:r>
        <w:rPr>
          <w:i/>
          <w:iCs/>
        </w:rPr>
        <w:t xml:space="preserve">Market Participant’s </w:t>
      </w:r>
      <w:r w:rsidR="00327FA2">
        <w:t>a</w:t>
      </w:r>
      <w:r w:rsidR="00327FA2">
        <w:rPr>
          <w:i/>
          <w:iCs/>
        </w:rPr>
        <w:t>djusted</w:t>
      </w:r>
      <w:r w:rsidR="00327FA2">
        <w:t xml:space="preserve"> </w:t>
      </w:r>
      <w:r w:rsidR="00327FA2" w:rsidRPr="001669E0">
        <w:rPr>
          <w:i/>
          <w:iCs/>
        </w:rPr>
        <w:t>withdrawals</w:t>
      </w:r>
      <w:r>
        <w:rPr>
          <w:i/>
          <w:iCs/>
        </w:rPr>
        <w:t xml:space="preserve"> </w:t>
      </w:r>
      <w:r>
        <w:t xml:space="preserve">from the </w:t>
      </w:r>
      <w:r>
        <w:rPr>
          <w:i/>
          <w:iCs/>
        </w:rPr>
        <w:t>DTS.</w:t>
      </w:r>
    </w:p>
    <w:p w14:paraId="2E2D91E7" w14:textId="77777777" w:rsidR="00BC3A8F" w:rsidRPr="001E4B71" w:rsidRDefault="00BC3A8F" w:rsidP="001E4B71">
      <w:pPr>
        <w:pStyle w:val="BodyText"/>
      </w:pPr>
    </w:p>
    <w:sectPr w:rsidR="00BC3A8F" w:rsidRPr="001E4B71" w:rsidSect="00DE0688">
      <w:headerReference w:type="even" r:id="rId27"/>
      <w:headerReference w:type="default" r:id="rId28"/>
      <w:footerReference w:type="default" r:id="rId29"/>
      <w:headerReference w:type="first" r:id="rId30"/>
      <w:pgSz w:w="11906" w:h="16838" w:code="9"/>
      <w:pgMar w:top="1871" w:right="1361" w:bottom="1361" w:left="1361" w:header="1021"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 w:author="Roger Shaw" w:date="2021-03-10T15:42:00Z" w:initials="RS">
    <w:p w14:paraId="591C7441" w14:textId="77777777" w:rsidR="006163B2" w:rsidRDefault="006163B2">
      <w:pPr>
        <w:pStyle w:val="CommentText"/>
      </w:pPr>
      <w:r>
        <w:rPr>
          <w:rStyle w:val="CommentReference"/>
        </w:rPr>
        <w:annotationRef/>
      </w:r>
      <w:r>
        <w:t xml:space="preserve">See IIR </w:t>
      </w:r>
      <w:r w:rsidR="00FA52D5">
        <w:t>7.2.3</w:t>
      </w:r>
    </w:p>
    <w:p w14:paraId="73A296E0" w14:textId="77777777" w:rsidR="00FA52D5" w:rsidRDefault="00FA52D5">
      <w:pPr>
        <w:pStyle w:val="CommentText"/>
      </w:pPr>
    </w:p>
    <w:p w14:paraId="654AD578" w14:textId="650E771A" w:rsidR="00FA52D5" w:rsidRDefault="00FA52D5">
      <w:pPr>
        <w:pStyle w:val="CommentText"/>
      </w:pPr>
      <w:r>
        <w:t>Include definition of Common Model that is consistent with other procedures</w:t>
      </w:r>
    </w:p>
  </w:comment>
  <w:comment w:id="37" w:author="Roger Shaw" w:date="2021-03-10T15:43:00Z" w:initials="RS">
    <w:p w14:paraId="63351921" w14:textId="77777777" w:rsidR="00FA52D5" w:rsidRDefault="00FA52D5">
      <w:pPr>
        <w:pStyle w:val="CommentText"/>
      </w:pPr>
      <w:r>
        <w:rPr>
          <w:rStyle w:val="CommentReference"/>
        </w:rPr>
        <w:annotationRef/>
      </w:r>
      <w:r w:rsidR="00BD0C84">
        <w:t>See IIR 7.2.3</w:t>
      </w:r>
    </w:p>
    <w:p w14:paraId="0B29D0B9" w14:textId="77777777" w:rsidR="00BD0C84" w:rsidRDefault="00BD0C84">
      <w:pPr>
        <w:pStyle w:val="CommentText"/>
      </w:pPr>
    </w:p>
    <w:p w14:paraId="6AA0BDB6" w14:textId="54C36B93" w:rsidR="00BD0C84" w:rsidRDefault="00BD0C84">
      <w:pPr>
        <w:pStyle w:val="CommentText"/>
      </w:pPr>
      <w:r>
        <w:t>Clarify that</w:t>
      </w:r>
      <w:r w:rsidR="00433163">
        <w:t xml:space="preserve"> the version of the Common Model </w:t>
      </w:r>
      <w:r w:rsidR="00F21D76">
        <w:t>to be used must be the one applicable to the relevant gas day</w:t>
      </w:r>
    </w:p>
  </w:comment>
  <w:comment w:id="40" w:author="Roger Shaw" w:date="2021-03-10T15:45:00Z" w:initials="RS">
    <w:p w14:paraId="008F9985" w14:textId="77777777" w:rsidR="00F21D76" w:rsidRDefault="00F21D76">
      <w:pPr>
        <w:pStyle w:val="CommentText"/>
      </w:pPr>
      <w:r>
        <w:rPr>
          <w:rStyle w:val="CommentReference"/>
        </w:rPr>
        <w:annotationRef/>
      </w:r>
      <w:r>
        <w:t>See IIR 7.2.4</w:t>
      </w:r>
    </w:p>
    <w:p w14:paraId="27E26112" w14:textId="77777777" w:rsidR="00F21D76" w:rsidRDefault="00F21D76">
      <w:pPr>
        <w:pStyle w:val="CommentText"/>
      </w:pPr>
    </w:p>
    <w:p w14:paraId="3EB3BE26" w14:textId="3304FC7B" w:rsidR="00F21D76" w:rsidRDefault="00F0692E">
      <w:pPr>
        <w:pStyle w:val="CommentText"/>
      </w:pPr>
      <w:r>
        <w:t>Clarify that the DTS SP pays the net of DTS SP Uplift and liability cap exceedance amounts.</w:t>
      </w:r>
    </w:p>
  </w:comment>
  <w:comment w:id="83" w:author="Roger Shaw" w:date="2021-03-10T15:46:00Z" w:initials="RS">
    <w:p w14:paraId="57C827D4" w14:textId="77777777" w:rsidR="00852082" w:rsidRDefault="00852082">
      <w:pPr>
        <w:pStyle w:val="CommentText"/>
      </w:pPr>
      <w:r>
        <w:rPr>
          <w:rStyle w:val="CommentReference"/>
        </w:rPr>
        <w:annotationRef/>
      </w:r>
      <w:r>
        <w:t>See IIR 7.2.2</w:t>
      </w:r>
    </w:p>
    <w:p w14:paraId="1A19F8D4" w14:textId="3478A8CA" w:rsidR="00852082" w:rsidRDefault="00852082">
      <w:pPr>
        <w:pStyle w:val="CommentText"/>
      </w:pPr>
      <w:r>
        <w:t xml:space="preserve">Clarify what is </w:t>
      </w:r>
      <w:r w:rsidR="0087121F">
        <w:t>liability cap exceedances are recovered through common uplift</w:t>
      </w:r>
    </w:p>
  </w:comment>
  <w:comment w:id="85" w:author="Roger Shaw" w:date="2021-03-10T15:47:00Z" w:initials="RS">
    <w:p w14:paraId="3875C58E" w14:textId="77777777" w:rsidR="0087121F" w:rsidRDefault="0087121F" w:rsidP="0087121F">
      <w:pPr>
        <w:pStyle w:val="CommentText"/>
      </w:pPr>
      <w:r>
        <w:rPr>
          <w:rStyle w:val="CommentReference"/>
        </w:rPr>
        <w:annotationRef/>
      </w:r>
      <w:r>
        <w:rPr>
          <w:rStyle w:val="CommentReference"/>
        </w:rPr>
        <w:annotationRef/>
      </w:r>
      <w:r>
        <w:t>See IIR 7.2.2</w:t>
      </w:r>
    </w:p>
    <w:p w14:paraId="7266B355" w14:textId="594CAB3B" w:rsidR="0087121F" w:rsidRDefault="0087121F">
      <w:pPr>
        <w:pStyle w:val="CommentText"/>
      </w:pPr>
      <w:r>
        <w:t>Clarify what is liability cap exceedances are recovered through common uplift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54AD578" w15:done="0"/>
  <w15:commentEx w15:paraId="6AA0BDB6" w15:done="0"/>
  <w15:commentEx w15:paraId="3EB3BE26" w15:done="0"/>
  <w15:commentEx w15:paraId="1A19F8D4" w15:done="0"/>
  <w15:commentEx w15:paraId="7266B3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676B" w16cex:dateUtc="2021-03-10T04:42:00Z"/>
  <w16cex:commentExtensible w16cex:durableId="23F36792" w16cex:dateUtc="2021-03-10T04:43:00Z"/>
  <w16cex:commentExtensible w16cex:durableId="23F36804" w16cex:dateUtc="2021-03-10T04:45:00Z"/>
  <w16cex:commentExtensible w16cex:durableId="23F36850" w16cex:dateUtc="2021-03-10T04:46:00Z"/>
  <w16cex:commentExtensible w16cex:durableId="23F36886" w16cex:dateUtc="2021-03-10T0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4AD578" w16cid:durableId="23F3676B"/>
  <w16cid:commentId w16cid:paraId="6AA0BDB6" w16cid:durableId="23F36792"/>
  <w16cid:commentId w16cid:paraId="3EB3BE26" w16cid:durableId="23F36804"/>
  <w16cid:commentId w16cid:paraId="1A19F8D4" w16cid:durableId="23F36850"/>
  <w16cid:commentId w16cid:paraId="7266B355" w16cid:durableId="23F368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B8E15" w14:textId="77777777" w:rsidR="003D0CE6" w:rsidRDefault="003D0CE6" w:rsidP="00710277">
      <w:pPr>
        <w:spacing w:after="0" w:line="240" w:lineRule="auto"/>
      </w:pPr>
      <w:r>
        <w:separator/>
      </w:r>
    </w:p>
  </w:endnote>
  <w:endnote w:type="continuationSeparator" w:id="0">
    <w:p w14:paraId="65A5349E" w14:textId="77777777" w:rsidR="003D0CE6" w:rsidRDefault="003D0CE6" w:rsidP="00710277">
      <w:pPr>
        <w:spacing w:after="0" w:line="240" w:lineRule="auto"/>
      </w:pPr>
      <w:r>
        <w:continuationSeparator/>
      </w:r>
    </w:p>
  </w:endnote>
  <w:endnote w:type="continuationNotice" w:id="1">
    <w:p w14:paraId="77F178A3" w14:textId="77777777" w:rsidR="003D0CE6" w:rsidRDefault="003D0C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old">
    <w:panose1 w:val="020B0704020202020204"/>
    <w:charset w:val="00"/>
    <w:family w:val="roman"/>
    <w:notTrueType/>
    <w:pitch w:val="default"/>
  </w:font>
  <w:font w:name="Tw Cen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71DF7" w14:textId="77777777" w:rsidR="00B402DD" w:rsidRPr="00090AF7" w:rsidRDefault="00B402DD" w:rsidP="00090AF7">
    <w:pPr>
      <w:pStyle w:val="ImprintFooter1"/>
      <w:pBdr>
        <w:bottom w:val="none" w:sz="0" w:space="0" w:color="auto"/>
      </w:pBdr>
      <w:rPr>
        <w:rFonts w:asciiTheme="majorHAnsi" w:hAnsiTheme="majorHAnsi"/>
        <w:color w:val="FFFFFF" w:themeColor="background1"/>
        <w:sz w:val="14"/>
      </w:rPr>
    </w:pPr>
  </w:p>
  <w:p w14:paraId="46E559E8" w14:textId="77777777" w:rsidR="00B402DD" w:rsidRPr="00090AF7" w:rsidRDefault="00B402DD" w:rsidP="00090AF7">
    <w:pPr>
      <w:pStyle w:val="ImprintFooter1"/>
      <w:pBdr>
        <w:bottom w:val="none" w:sz="0" w:space="0" w:color="auto"/>
      </w:pBdr>
      <w:rPr>
        <w:rFonts w:asciiTheme="majorHAnsi" w:hAnsiTheme="majorHAnsi"/>
        <w:color w:val="FFFFFF" w:themeColor="background1"/>
        <w:sz w:val="14"/>
      </w:rPr>
    </w:pPr>
  </w:p>
  <w:p w14:paraId="67B6F691" w14:textId="77777777" w:rsidR="00B402DD" w:rsidRPr="00090AF7" w:rsidRDefault="00B402DD" w:rsidP="00090AF7">
    <w:pPr>
      <w:pStyle w:val="ImprintFooter1"/>
      <w:pBdr>
        <w:bottom w:val="single" w:sz="6" w:space="4" w:color="FFFFFF" w:themeColor="background1"/>
      </w:pBdr>
      <w:rPr>
        <w:rFonts w:asciiTheme="majorHAnsi" w:hAnsiTheme="majorHAnsi"/>
        <w:color w:val="FFFFFF" w:themeColor="background1"/>
        <w:sz w:val="14"/>
      </w:rPr>
    </w:pPr>
    <w:r w:rsidRPr="00090AF7">
      <w:rPr>
        <w:rFonts w:asciiTheme="majorHAnsi" w:hAnsiTheme="majorHAnsi"/>
        <w:color w:val="FFFFFF" w:themeColor="background1"/>
        <w:sz w:val="14"/>
      </w:rPr>
      <w:t>Australian Energy Market Operator Ltd    ABN 94 072 010 327</w:t>
    </w:r>
    <w:r w:rsidRPr="00090AF7">
      <w:rPr>
        <w:rFonts w:asciiTheme="majorHAnsi" w:hAnsiTheme="majorHAnsi"/>
        <w:color w:val="FFFFFF" w:themeColor="background1"/>
        <w:sz w:val="14"/>
      </w:rPr>
      <w:tab/>
    </w:r>
    <w:hyperlink r:id="rId1" w:history="1">
      <w:r w:rsidRPr="00090AF7">
        <w:rPr>
          <w:rFonts w:asciiTheme="majorHAnsi" w:hAnsiTheme="majorHAnsi"/>
          <w:color w:val="FFFFFF" w:themeColor="background1"/>
          <w:sz w:val="14"/>
        </w:rPr>
        <w:t>www.aemo.com.au</w:t>
      </w:r>
    </w:hyperlink>
    <w:r w:rsidRPr="00090AF7">
      <w:rPr>
        <w:rFonts w:asciiTheme="majorHAnsi" w:hAnsiTheme="majorHAnsi"/>
        <w:color w:val="FFFFFF" w:themeColor="background1"/>
        <w:sz w:val="14"/>
      </w:rPr>
      <w:t xml:space="preserve">    </w:t>
    </w:r>
    <w:hyperlink r:id="rId2" w:history="1">
      <w:r w:rsidRPr="00090AF7">
        <w:rPr>
          <w:rFonts w:asciiTheme="majorHAnsi" w:hAnsiTheme="majorHAnsi"/>
          <w:color w:val="FFFFFF" w:themeColor="background1"/>
          <w:sz w:val="14"/>
        </w:rPr>
        <w:t>info@aemo.com.au</w:t>
      </w:r>
    </w:hyperlink>
  </w:p>
  <w:p w14:paraId="711DF7FB" w14:textId="77777777" w:rsidR="00B402DD" w:rsidRPr="00090AF7" w:rsidRDefault="00B402DD" w:rsidP="00435A2E">
    <w:pPr>
      <w:pStyle w:val="ImprintFooter2"/>
      <w:rPr>
        <w:rFonts w:asciiTheme="majorHAnsi" w:hAnsiTheme="majorHAnsi"/>
        <w:color w:val="FFFFFF" w:themeColor="background1"/>
        <w:sz w:val="14"/>
      </w:rPr>
    </w:pPr>
    <w:r w:rsidRPr="00090AF7">
      <w:rPr>
        <w:rFonts w:asciiTheme="majorHAnsi" w:hAnsiTheme="majorHAnsi"/>
        <w:color w:val="FFFFFF" w:themeColor="background1"/>
        <w:sz w:val="14"/>
      </w:rPr>
      <w:t>NEW SOUTH WALES</w:t>
    </w:r>
    <w:r w:rsidRPr="00090AF7">
      <w:rPr>
        <w:rFonts w:asciiTheme="majorHAnsi" w:hAnsiTheme="majorHAnsi"/>
        <w:color w:val="FFFFFF" w:themeColor="background1"/>
        <w:sz w:val="14"/>
      </w:rPr>
      <w:tab/>
      <w:t>QUEENSLAND</w:t>
    </w:r>
    <w:r w:rsidRPr="00090AF7">
      <w:rPr>
        <w:rFonts w:asciiTheme="majorHAnsi" w:hAnsiTheme="majorHAnsi"/>
        <w:color w:val="FFFFFF" w:themeColor="background1"/>
        <w:sz w:val="14"/>
      </w:rPr>
      <w:tab/>
      <w:t>SOUTH AUSTRALIA</w:t>
    </w:r>
    <w:r w:rsidRPr="00090AF7">
      <w:rPr>
        <w:rFonts w:asciiTheme="majorHAnsi" w:hAnsiTheme="majorHAnsi"/>
        <w:color w:val="FFFFFF" w:themeColor="background1"/>
        <w:sz w:val="14"/>
      </w:rPr>
      <w:tab/>
      <w:t>VICTORIA</w:t>
    </w:r>
    <w:r w:rsidRPr="00090AF7">
      <w:rPr>
        <w:rFonts w:asciiTheme="majorHAnsi" w:hAnsiTheme="majorHAnsi"/>
        <w:color w:val="FFFFFF" w:themeColor="background1"/>
        <w:sz w:val="14"/>
      </w:rPr>
      <w:tab/>
      <w:t>AUSTRALIAN CAPITAL TERRITORY</w:t>
    </w:r>
    <w:r w:rsidRPr="00090AF7">
      <w:rPr>
        <w:rFonts w:asciiTheme="majorHAnsi" w:hAnsiTheme="majorHAnsi"/>
        <w:color w:val="FFFFFF" w:themeColor="background1"/>
        <w:sz w:val="14"/>
      </w:rPr>
      <w:tab/>
      <w:t>TASMANIA</w:t>
    </w:r>
    <w:r w:rsidRPr="00090AF7">
      <w:rPr>
        <w:rFonts w:asciiTheme="majorHAnsi" w:hAnsiTheme="majorHAnsi"/>
        <w:color w:val="FFFFFF" w:themeColor="background1"/>
        <w:sz w:val="14"/>
      </w:rPr>
      <w:tab/>
      <w:t>WESTERN AUSTRALIA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D79A6" w14:textId="77777777" w:rsidR="00B402DD" w:rsidRDefault="00B402DD">
    <w:pPr>
      <w:pStyle w:val="Footer"/>
    </w:pPr>
    <w:r>
      <w:rPr>
        <w:noProof/>
        <w:color w:val="2B579A"/>
        <w:sz w:val="20"/>
        <w:szCs w:val="20"/>
        <w:shd w:val="clear" w:color="auto" w:fill="E6E6E6"/>
        <w:lang w:eastAsia="en-AU"/>
      </w:rPr>
      <w:drawing>
        <wp:anchor distT="0" distB="0" distL="114300" distR="114300" simplePos="0" relativeHeight="251658249" behindDoc="1" locked="0" layoutInCell="1" allowOverlap="1" wp14:anchorId="6B1B3FC2" wp14:editId="0F69E666">
          <wp:simplePos x="0" y="0"/>
          <wp:positionH relativeFrom="page">
            <wp:posOffset>140335</wp:posOffset>
          </wp:positionH>
          <wp:positionV relativeFrom="page">
            <wp:posOffset>9901555</wp:posOffset>
          </wp:positionV>
          <wp:extent cx="7286400" cy="655200"/>
          <wp:effectExtent l="0" t="0" r="0" b="0"/>
          <wp:wrapNone/>
          <wp:docPr id="10" name="Footer b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ortrait_buff_bar_no-curve.png"/>
                  <pic:cNvPicPr/>
                </pic:nvPicPr>
                <pic:blipFill>
                  <a:blip r:embed="rId1">
                    <a:extLst>
                      <a:ext uri="{28A0092B-C50C-407E-A947-70E740481C1C}">
                        <a14:useLocalDpi xmlns:a14="http://schemas.microsoft.com/office/drawing/2010/main" val="0"/>
                      </a:ext>
                    </a:extLst>
                  </a:blip>
                  <a:stretch>
                    <a:fillRect/>
                  </a:stretch>
                </pic:blipFill>
                <pic:spPr>
                  <a:xfrm>
                    <a:off x="0" y="0"/>
                    <a:ext cx="7286400" cy="655200"/>
                  </a:xfrm>
                  <a:prstGeom prst="rect">
                    <a:avLst/>
                  </a:prstGeom>
                </pic:spPr>
              </pic:pic>
            </a:graphicData>
          </a:graphic>
          <wp14:sizeRelH relativeFrom="page">
            <wp14:pctWidth>0</wp14:pctWidth>
          </wp14:sizeRelH>
          <wp14:sizeRelV relativeFrom="page">
            <wp14:pctHeight>0</wp14:pctHeight>
          </wp14:sizeRelV>
        </wp:anchor>
      </w:drawing>
    </w:r>
    <w:r w:rsidRPr="004014E4">
      <w:rPr>
        <w:color w:val="948671"/>
      </w:rPr>
      <w:t>© AEMO</w:t>
    </w:r>
    <w:r>
      <w:rPr>
        <w:color w:val="948671"/>
      </w:rPr>
      <w:t xml:space="preserve"> 2014</w:t>
    </w:r>
    <w:r w:rsidRPr="00BE272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egalFooterTable"/>
      <w:tblW w:w="5000" w:type="pct"/>
      <w:tblBorders>
        <w:top w:val="single" w:sz="4" w:space="0" w:color="auto"/>
      </w:tblBorders>
      <w:tblLook w:val="04A0" w:firstRow="1" w:lastRow="0" w:firstColumn="1" w:lastColumn="0" w:noHBand="0" w:noVBand="1"/>
    </w:tblPr>
    <w:tblGrid>
      <w:gridCol w:w="3062"/>
      <w:gridCol w:w="3061"/>
      <w:gridCol w:w="3061"/>
    </w:tblGrid>
    <w:tr w:rsidR="00B402DD" w:rsidRPr="00734044" w14:paraId="048D6939" w14:textId="77777777" w:rsidTr="00C45A03">
      <w:trPr>
        <w:trHeight w:hRule="exact" w:val="198"/>
      </w:trPr>
      <w:tc>
        <w:tcPr>
          <w:tcW w:w="3058" w:type="dxa"/>
        </w:tcPr>
        <w:p w14:paraId="1342410B" w14:textId="76CF13EA" w:rsidR="00B402DD" w:rsidRPr="00F32421" w:rsidRDefault="00B402DD" w:rsidP="00F32421">
          <w:pPr>
            <w:pStyle w:val="Footer"/>
            <w:tabs>
              <w:tab w:val="clear" w:pos="8239"/>
              <w:tab w:val="clear" w:pos="9185"/>
            </w:tabs>
          </w:pPr>
          <w:r>
            <w:t xml:space="preserve">Doc Ref: </w:t>
          </w:r>
          <w:r>
            <w:rPr>
              <w:color w:val="2B579A"/>
              <w:shd w:val="clear" w:color="auto" w:fill="E6E6E6"/>
            </w:rPr>
            <w:fldChar w:fldCharType="begin"/>
          </w:r>
          <w:r>
            <w:rPr>
              <w:noProof/>
            </w:rPr>
            <w:instrText xml:space="preserve"> STYLEREF  DocRef  \* MERGEFORMAT </w:instrText>
          </w:r>
          <w:r>
            <w:rPr>
              <w:color w:val="2B579A"/>
              <w:shd w:val="clear" w:color="auto" w:fill="E6E6E6"/>
            </w:rPr>
            <w:fldChar w:fldCharType="separate"/>
          </w:r>
          <w:r w:rsidR="009936BA">
            <w:rPr>
              <w:noProof/>
            </w:rPr>
            <w:t>XX-XXXX</w:t>
          </w:r>
          <w:r>
            <w:rPr>
              <w:color w:val="2B579A"/>
              <w:shd w:val="clear" w:color="auto" w:fill="E6E6E6"/>
            </w:rPr>
            <w:fldChar w:fldCharType="end"/>
          </w:r>
        </w:p>
      </w:tc>
      <w:tc>
        <w:tcPr>
          <w:tcW w:w="3058" w:type="dxa"/>
        </w:tcPr>
        <w:p w14:paraId="6FC5F220" w14:textId="75A0CF78" w:rsidR="00B402DD" w:rsidRPr="00F32421" w:rsidRDefault="00B402DD" w:rsidP="00F32421">
          <w:pPr>
            <w:pStyle w:val="Footer"/>
            <w:tabs>
              <w:tab w:val="clear" w:pos="8239"/>
              <w:tab w:val="clear" w:pos="9185"/>
            </w:tabs>
            <w:jc w:val="center"/>
          </w:pPr>
          <w:r>
            <w:rPr>
              <w:color w:val="2B579A"/>
              <w:shd w:val="clear" w:color="auto" w:fill="E6E6E6"/>
            </w:rPr>
            <w:fldChar w:fldCharType="begin"/>
          </w:r>
          <w:r>
            <w:rPr>
              <w:noProof/>
            </w:rPr>
            <w:instrText xml:space="preserve"> STYLEREF  EffectDate  \* MERGEFORMAT </w:instrText>
          </w:r>
          <w:r>
            <w:rPr>
              <w:color w:val="2B579A"/>
              <w:shd w:val="clear" w:color="auto" w:fill="E6E6E6"/>
            </w:rPr>
            <w:fldChar w:fldCharType="separate"/>
          </w:r>
          <w:r w:rsidR="009936BA">
            <w:rPr>
              <w:noProof/>
            </w:rPr>
            <w:t>Gas Date 1 January 2023</w:t>
          </w:r>
          <w:r>
            <w:rPr>
              <w:color w:val="2B579A"/>
              <w:shd w:val="clear" w:color="auto" w:fill="E6E6E6"/>
            </w:rPr>
            <w:fldChar w:fldCharType="end"/>
          </w:r>
        </w:p>
      </w:tc>
      <w:tc>
        <w:tcPr>
          <w:tcW w:w="3058" w:type="dxa"/>
        </w:tcPr>
        <w:p w14:paraId="17E69922" w14:textId="77777777" w:rsidR="00B402DD" w:rsidRPr="00734044" w:rsidRDefault="00B402DD" w:rsidP="00F32421">
          <w:pPr>
            <w:pStyle w:val="Footer"/>
            <w:tabs>
              <w:tab w:val="clear" w:pos="8239"/>
              <w:tab w:val="clear" w:pos="9185"/>
            </w:tabs>
            <w:jc w:val="right"/>
          </w:pPr>
          <w:r>
            <w:t xml:space="preserve">Page </w:t>
          </w:r>
          <w:r w:rsidRPr="00F32421">
            <w:rPr>
              <w:color w:val="2B579A"/>
              <w:shd w:val="clear" w:color="auto" w:fill="E6E6E6"/>
            </w:rPr>
            <w:fldChar w:fldCharType="begin"/>
          </w:r>
          <w:r w:rsidRPr="00F32421">
            <w:instrText xml:space="preserve"> PAGE  </w:instrText>
          </w:r>
          <w:r w:rsidRPr="00F32421">
            <w:rPr>
              <w:color w:val="2B579A"/>
              <w:shd w:val="clear" w:color="auto" w:fill="E6E6E6"/>
            </w:rPr>
            <w:fldChar w:fldCharType="separate"/>
          </w:r>
          <w:r>
            <w:rPr>
              <w:noProof/>
            </w:rPr>
            <w:t>2</w:t>
          </w:r>
          <w:r w:rsidRPr="00F32421">
            <w:rPr>
              <w:color w:val="2B579A"/>
              <w:shd w:val="clear" w:color="auto" w:fill="E6E6E6"/>
            </w:rPr>
            <w:fldChar w:fldCharType="end"/>
          </w:r>
          <w:r>
            <w:t xml:space="preserve"> of </w:t>
          </w:r>
          <w:r>
            <w:rPr>
              <w:color w:val="2B579A"/>
              <w:shd w:val="clear" w:color="auto" w:fill="E6E6E6"/>
            </w:rPr>
            <w:fldChar w:fldCharType="begin"/>
          </w:r>
          <w:r>
            <w:rPr>
              <w:noProof/>
            </w:rPr>
            <w:instrText xml:space="preserve"> NUMPAGES   \* MERGEFORMAT </w:instrText>
          </w:r>
          <w:r>
            <w:rPr>
              <w:color w:val="2B579A"/>
              <w:shd w:val="clear" w:color="auto" w:fill="E6E6E6"/>
            </w:rPr>
            <w:fldChar w:fldCharType="separate"/>
          </w:r>
          <w:r>
            <w:rPr>
              <w:noProof/>
            </w:rPr>
            <w:t>8</w:t>
          </w:r>
          <w:r>
            <w:rPr>
              <w:color w:val="2B579A"/>
              <w:shd w:val="clear" w:color="auto" w:fill="E6E6E6"/>
            </w:rPr>
            <w:fldChar w:fldCharType="end"/>
          </w:r>
        </w:p>
      </w:tc>
    </w:tr>
  </w:tbl>
  <w:p w14:paraId="400A6834" w14:textId="77777777" w:rsidR="00B402DD" w:rsidRPr="00734044" w:rsidRDefault="00B402DD" w:rsidP="00F324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9F171" w14:textId="77777777" w:rsidR="00B402DD" w:rsidRDefault="00B402D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2"/>
      <w:gridCol w:w="3061"/>
      <w:gridCol w:w="3061"/>
    </w:tblGrid>
    <w:tr w:rsidR="00B402DD" w:rsidRPr="00734044" w14:paraId="370EA5BF" w14:textId="77777777" w:rsidTr="005537C0">
      <w:trPr>
        <w:trHeight w:hRule="exact" w:val="198"/>
      </w:trPr>
      <w:tc>
        <w:tcPr>
          <w:tcW w:w="3058" w:type="dxa"/>
          <w:vAlign w:val="bottom"/>
        </w:tcPr>
        <w:p w14:paraId="3C63E187" w14:textId="0A3E94DD" w:rsidR="00B402DD" w:rsidRPr="00F32421" w:rsidRDefault="00B402DD" w:rsidP="00F32421">
          <w:pPr>
            <w:pStyle w:val="Footer"/>
            <w:tabs>
              <w:tab w:val="clear" w:pos="8239"/>
              <w:tab w:val="clear" w:pos="9185"/>
            </w:tabs>
          </w:pPr>
          <w:r>
            <w:t xml:space="preserve">Doc Ref: </w:t>
          </w:r>
          <w:r>
            <w:rPr>
              <w:color w:val="2B579A"/>
              <w:shd w:val="clear" w:color="auto" w:fill="E6E6E6"/>
            </w:rPr>
            <w:fldChar w:fldCharType="begin"/>
          </w:r>
          <w:r>
            <w:rPr>
              <w:noProof/>
            </w:rPr>
            <w:instrText xml:space="preserve"> STYLEREF  DocRef  \* MERGEFORMAT </w:instrText>
          </w:r>
          <w:r>
            <w:rPr>
              <w:color w:val="2B579A"/>
              <w:shd w:val="clear" w:color="auto" w:fill="E6E6E6"/>
            </w:rPr>
            <w:fldChar w:fldCharType="separate"/>
          </w:r>
          <w:r w:rsidR="009936BA">
            <w:rPr>
              <w:noProof/>
            </w:rPr>
            <w:t>XX-XXXX</w:t>
          </w:r>
          <w:r>
            <w:rPr>
              <w:color w:val="2B579A"/>
              <w:shd w:val="clear" w:color="auto" w:fill="E6E6E6"/>
            </w:rPr>
            <w:fldChar w:fldCharType="end"/>
          </w:r>
        </w:p>
      </w:tc>
      <w:tc>
        <w:tcPr>
          <w:tcW w:w="3058" w:type="dxa"/>
          <w:vAlign w:val="bottom"/>
        </w:tcPr>
        <w:p w14:paraId="5ECFBE66" w14:textId="739F9B79" w:rsidR="00B402DD" w:rsidRPr="00F32421" w:rsidRDefault="00B402DD" w:rsidP="00F32421">
          <w:pPr>
            <w:pStyle w:val="Footer"/>
            <w:tabs>
              <w:tab w:val="clear" w:pos="8239"/>
              <w:tab w:val="clear" w:pos="9185"/>
            </w:tabs>
            <w:jc w:val="center"/>
          </w:pPr>
          <w:r>
            <w:rPr>
              <w:color w:val="2B579A"/>
              <w:shd w:val="clear" w:color="auto" w:fill="E6E6E6"/>
            </w:rPr>
            <w:fldChar w:fldCharType="begin"/>
          </w:r>
          <w:r>
            <w:rPr>
              <w:noProof/>
            </w:rPr>
            <w:instrText xml:space="preserve"> STYLEREF  EffectDate  \* MERGEFORMAT </w:instrText>
          </w:r>
          <w:r>
            <w:rPr>
              <w:color w:val="2B579A"/>
              <w:shd w:val="clear" w:color="auto" w:fill="E6E6E6"/>
            </w:rPr>
            <w:fldChar w:fldCharType="separate"/>
          </w:r>
          <w:r w:rsidR="009936BA">
            <w:rPr>
              <w:noProof/>
            </w:rPr>
            <w:t>Gas Date 1 January 2023</w:t>
          </w:r>
          <w:r>
            <w:rPr>
              <w:color w:val="2B579A"/>
              <w:shd w:val="clear" w:color="auto" w:fill="E6E6E6"/>
            </w:rPr>
            <w:fldChar w:fldCharType="end"/>
          </w:r>
        </w:p>
      </w:tc>
      <w:tc>
        <w:tcPr>
          <w:tcW w:w="3058" w:type="dxa"/>
          <w:vAlign w:val="bottom"/>
        </w:tcPr>
        <w:p w14:paraId="62C83E65" w14:textId="77777777" w:rsidR="00B402DD" w:rsidRPr="00734044" w:rsidRDefault="00B402DD" w:rsidP="00F32421">
          <w:pPr>
            <w:pStyle w:val="Footer"/>
            <w:tabs>
              <w:tab w:val="clear" w:pos="8239"/>
              <w:tab w:val="clear" w:pos="9185"/>
            </w:tabs>
            <w:jc w:val="right"/>
          </w:pPr>
          <w:r>
            <w:t xml:space="preserve">Page </w:t>
          </w:r>
          <w:r w:rsidRPr="00F32421">
            <w:rPr>
              <w:color w:val="2B579A"/>
              <w:shd w:val="clear" w:color="auto" w:fill="E6E6E6"/>
            </w:rPr>
            <w:fldChar w:fldCharType="begin"/>
          </w:r>
          <w:r w:rsidRPr="00F32421">
            <w:instrText xml:space="preserve"> PAGE  </w:instrText>
          </w:r>
          <w:r w:rsidRPr="00F32421">
            <w:rPr>
              <w:color w:val="2B579A"/>
              <w:shd w:val="clear" w:color="auto" w:fill="E6E6E6"/>
            </w:rPr>
            <w:fldChar w:fldCharType="separate"/>
          </w:r>
          <w:r>
            <w:rPr>
              <w:noProof/>
            </w:rPr>
            <w:t>3</w:t>
          </w:r>
          <w:r w:rsidRPr="00F32421">
            <w:rPr>
              <w:color w:val="2B579A"/>
              <w:shd w:val="clear" w:color="auto" w:fill="E6E6E6"/>
            </w:rPr>
            <w:fldChar w:fldCharType="end"/>
          </w:r>
          <w:r>
            <w:t xml:space="preserve"> of </w:t>
          </w:r>
          <w:r>
            <w:rPr>
              <w:color w:val="2B579A"/>
              <w:shd w:val="clear" w:color="auto" w:fill="E6E6E6"/>
            </w:rPr>
            <w:fldChar w:fldCharType="begin"/>
          </w:r>
          <w:r>
            <w:rPr>
              <w:noProof/>
            </w:rPr>
            <w:instrText xml:space="preserve"> NUMPAGES   \* MERGEFORMAT </w:instrText>
          </w:r>
          <w:r>
            <w:rPr>
              <w:color w:val="2B579A"/>
              <w:shd w:val="clear" w:color="auto" w:fill="E6E6E6"/>
            </w:rPr>
            <w:fldChar w:fldCharType="separate"/>
          </w:r>
          <w:r>
            <w:rPr>
              <w:noProof/>
            </w:rPr>
            <w:t>8</w:t>
          </w:r>
          <w:r>
            <w:rPr>
              <w:color w:val="2B579A"/>
              <w:shd w:val="clear" w:color="auto" w:fill="E6E6E6"/>
            </w:rPr>
            <w:fldChar w:fldCharType="end"/>
          </w:r>
        </w:p>
      </w:tc>
    </w:tr>
  </w:tbl>
  <w:p w14:paraId="47F9704B" w14:textId="77777777" w:rsidR="00B402DD" w:rsidRPr="00734044" w:rsidRDefault="00B402DD" w:rsidP="00F3242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egalFooterTable"/>
      <w:tblW w:w="5000" w:type="pct"/>
      <w:tblBorders>
        <w:top w:val="single" w:sz="4" w:space="0" w:color="auto"/>
      </w:tblBorders>
      <w:tblLook w:val="04A0" w:firstRow="1" w:lastRow="0" w:firstColumn="1" w:lastColumn="0" w:noHBand="0" w:noVBand="1"/>
    </w:tblPr>
    <w:tblGrid>
      <w:gridCol w:w="3062"/>
      <w:gridCol w:w="3061"/>
      <w:gridCol w:w="3061"/>
    </w:tblGrid>
    <w:tr w:rsidR="00B402DD" w:rsidRPr="00734044" w14:paraId="6FDFB290" w14:textId="77777777" w:rsidTr="00090AF7">
      <w:trPr>
        <w:trHeight w:hRule="exact" w:val="198"/>
      </w:trPr>
      <w:tc>
        <w:tcPr>
          <w:tcW w:w="3058" w:type="dxa"/>
        </w:tcPr>
        <w:p w14:paraId="45102949" w14:textId="7DE461B8" w:rsidR="00B402DD" w:rsidRPr="00F32421" w:rsidRDefault="00B402DD" w:rsidP="006B6119">
          <w:pPr>
            <w:pStyle w:val="Footer"/>
            <w:tabs>
              <w:tab w:val="clear" w:pos="8239"/>
              <w:tab w:val="clear" w:pos="9185"/>
            </w:tabs>
          </w:pPr>
          <w:r>
            <w:t xml:space="preserve">Doc Ref: </w:t>
          </w:r>
          <w:r>
            <w:rPr>
              <w:color w:val="2B579A"/>
              <w:shd w:val="clear" w:color="auto" w:fill="E6E6E6"/>
            </w:rPr>
            <w:fldChar w:fldCharType="begin"/>
          </w:r>
          <w:r>
            <w:rPr>
              <w:noProof/>
            </w:rPr>
            <w:instrText xml:space="preserve"> STYLEREF  DocRef  \* MERGEFORMAT </w:instrText>
          </w:r>
          <w:r>
            <w:rPr>
              <w:color w:val="2B579A"/>
              <w:shd w:val="clear" w:color="auto" w:fill="E6E6E6"/>
            </w:rPr>
            <w:fldChar w:fldCharType="separate"/>
          </w:r>
          <w:r w:rsidR="009936BA">
            <w:rPr>
              <w:noProof/>
            </w:rPr>
            <w:t>XX-XXXX</w:t>
          </w:r>
          <w:r>
            <w:rPr>
              <w:color w:val="2B579A"/>
              <w:shd w:val="clear" w:color="auto" w:fill="E6E6E6"/>
            </w:rPr>
            <w:fldChar w:fldCharType="end"/>
          </w:r>
        </w:p>
      </w:tc>
      <w:tc>
        <w:tcPr>
          <w:tcW w:w="3058" w:type="dxa"/>
        </w:tcPr>
        <w:p w14:paraId="180CB488" w14:textId="4FD641C3" w:rsidR="00B402DD" w:rsidRPr="00F32421" w:rsidRDefault="00B402DD" w:rsidP="006B6119">
          <w:pPr>
            <w:pStyle w:val="Footer"/>
            <w:tabs>
              <w:tab w:val="clear" w:pos="8239"/>
              <w:tab w:val="clear" w:pos="9185"/>
            </w:tabs>
            <w:jc w:val="center"/>
          </w:pPr>
          <w:r>
            <w:rPr>
              <w:color w:val="2B579A"/>
              <w:shd w:val="clear" w:color="auto" w:fill="E6E6E6"/>
            </w:rPr>
            <w:fldChar w:fldCharType="begin"/>
          </w:r>
          <w:r>
            <w:rPr>
              <w:noProof/>
            </w:rPr>
            <w:instrText xml:space="preserve"> STYLEREF  EffectDate  \* MERGEFORMAT </w:instrText>
          </w:r>
          <w:r>
            <w:rPr>
              <w:color w:val="2B579A"/>
              <w:shd w:val="clear" w:color="auto" w:fill="E6E6E6"/>
            </w:rPr>
            <w:fldChar w:fldCharType="separate"/>
          </w:r>
          <w:r w:rsidR="009936BA">
            <w:rPr>
              <w:noProof/>
            </w:rPr>
            <w:t>Gas Date 1 January 2023</w:t>
          </w:r>
          <w:r>
            <w:rPr>
              <w:color w:val="2B579A"/>
              <w:shd w:val="clear" w:color="auto" w:fill="E6E6E6"/>
            </w:rPr>
            <w:fldChar w:fldCharType="end"/>
          </w:r>
        </w:p>
      </w:tc>
      <w:tc>
        <w:tcPr>
          <w:tcW w:w="3058" w:type="dxa"/>
        </w:tcPr>
        <w:p w14:paraId="3A76852C" w14:textId="77777777" w:rsidR="00B402DD" w:rsidRPr="00734044" w:rsidRDefault="00B402DD" w:rsidP="006B6119">
          <w:pPr>
            <w:pStyle w:val="Footer"/>
            <w:tabs>
              <w:tab w:val="clear" w:pos="8239"/>
              <w:tab w:val="clear" w:pos="9185"/>
            </w:tabs>
            <w:jc w:val="right"/>
          </w:pPr>
          <w:r>
            <w:t xml:space="preserve">Page </w:t>
          </w:r>
          <w:r w:rsidRPr="00F32421">
            <w:rPr>
              <w:color w:val="2B579A"/>
              <w:shd w:val="clear" w:color="auto" w:fill="E6E6E6"/>
            </w:rPr>
            <w:fldChar w:fldCharType="begin"/>
          </w:r>
          <w:r w:rsidRPr="00F32421">
            <w:instrText xml:space="preserve"> PAGE  </w:instrText>
          </w:r>
          <w:r w:rsidRPr="00F32421">
            <w:rPr>
              <w:color w:val="2B579A"/>
              <w:shd w:val="clear" w:color="auto" w:fill="E6E6E6"/>
            </w:rPr>
            <w:fldChar w:fldCharType="separate"/>
          </w:r>
          <w:r>
            <w:rPr>
              <w:noProof/>
            </w:rPr>
            <w:t>8</w:t>
          </w:r>
          <w:r w:rsidRPr="00F32421">
            <w:rPr>
              <w:color w:val="2B579A"/>
              <w:shd w:val="clear" w:color="auto" w:fill="E6E6E6"/>
            </w:rPr>
            <w:fldChar w:fldCharType="end"/>
          </w:r>
          <w:r>
            <w:t xml:space="preserve"> of </w:t>
          </w:r>
          <w:r>
            <w:rPr>
              <w:color w:val="2B579A"/>
              <w:shd w:val="clear" w:color="auto" w:fill="E6E6E6"/>
            </w:rPr>
            <w:fldChar w:fldCharType="begin"/>
          </w:r>
          <w:r>
            <w:rPr>
              <w:noProof/>
            </w:rPr>
            <w:instrText xml:space="preserve"> NUMPAGES   \* MERGEFORMAT </w:instrText>
          </w:r>
          <w:r>
            <w:rPr>
              <w:color w:val="2B579A"/>
              <w:shd w:val="clear" w:color="auto" w:fill="E6E6E6"/>
            </w:rPr>
            <w:fldChar w:fldCharType="separate"/>
          </w:r>
          <w:r>
            <w:rPr>
              <w:noProof/>
            </w:rPr>
            <w:t>8</w:t>
          </w:r>
          <w:r>
            <w:rPr>
              <w:color w:val="2B579A"/>
              <w:shd w:val="clear" w:color="auto" w:fill="E6E6E6"/>
            </w:rPr>
            <w:fldChar w:fldCharType="end"/>
          </w:r>
        </w:p>
      </w:tc>
    </w:tr>
  </w:tbl>
  <w:p w14:paraId="73D22663" w14:textId="77777777" w:rsidR="00B402DD" w:rsidRPr="00734044" w:rsidRDefault="00B402DD" w:rsidP="006B6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66185" w14:textId="77777777" w:rsidR="003D0CE6" w:rsidRPr="005032D6" w:rsidRDefault="003D0CE6" w:rsidP="00710277">
      <w:pPr>
        <w:spacing w:after="0" w:line="240" w:lineRule="auto"/>
      </w:pPr>
      <w:r w:rsidRPr="005032D6">
        <w:separator/>
      </w:r>
    </w:p>
  </w:footnote>
  <w:footnote w:type="continuationSeparator" w:id="0">
    <w:p w14:paraId="1C20CEAC" w14:textId="77777777" w:rsidR="003D0CE6" w:rsidRDefault="003D0CE6" w:rsidP="00710277">
      <w:pPr>
        <w:spacing w:after="0" w:line="240" w:lineRule="auto"/>
      </w:pPr>
      <w:r>
        <w:continuationSeparator/>
      </w:r>
    </w:p>
  </w:footnote>
  <w:footnote w:type="continuationNotice" w:id="1">
    <w:p w14:paraId="2FE4EBED" w14:textId="77777777" w:rsidR="003D0CE6" w:rsidRDefault="003D0CE6">
      <w:pPr>
        <w:spacing w:after="0" w:line="240" w:lineRule="auto"/>
      </w:pPr>
    </w:p>
  </w:footnote>
  <w:footnote w:id="2">
    <w:p w14:paraId="749A9CAD" w14:textId="3EDF82D0" w:rsidR="004F2B63" w:rsidRDefault="004F2B63">
      <w:pPr>
        <w:pStyle w:val="FootnoteText"/>
      </w:pPr>
      <w:r>
        <w:rPr>
          <w:rStyle w:val="FootnoteReference"/>
        </w:rPr>
        <w:footnoteRef/>
      </w:r>
      <w:r>
        <w:t xml:space="preserve"> </w:t>
      </w:r>
      <w:r w:rsidRPr="00F45498">
        <w:rPr>
          <w:lang w:eastAsia="en-AU"/>
        </w:rPr>
        <w:t>Note: Previously included in 2.1.1 Congestion Uplift</w:t>
      </w:r>
    </w:p>
  </w:footnote>
  <w:footnote w:id="3">
    <w:p w14:paraId="0A46FCF0" w14:textId="77777777" w:rsidR="00A30525" w:rsidRDefault="00A30525" w:rsidP="00A30525">
      <w:pPr>
        <w:pStyle w:val="FootnoteText"/>
      </w:pPr>
      <w:r>
        <w:rPr>
          <w:rStyle w:val="FootnoteReference"/>
        </w:rPr>
        <w:footnoteRef/>
      </w:r>
      <w:r>
        <w:t xml:space="preserve"> </w:t>
      </w:r>
      <w:r w:rsidRPr="00F45498">
        <w:rPr>
          <w:lang w:eastAsia="en-AU"/>
        </w:rPr>
        <w:t>Note: Previously included in 2.1.3 Common Uplift</w:t>
      </w:r>
    </w:p>
  </w:footnote>
  <w:footnote w:id="4">
    <w:p w14:paraId="18B71C6B" w14:textId="76F14EB8" w:rsidR="00A30525" w:rsidRDefault="00A30525">
      <w:pPr>
        <w:pStyle w:val="FootnoteText"/>
      </w:pPr>
      <w:r>
        <w:rPr>
          <w:rStyle w:val="FootnoteReference"/>
        </w:rPr>
        <w:footnoteRef/>
      </w:r>
      <w:r>
        <w:t xml:space="preserve"> </w:t>
      </w:r>
      <w:r w:rsidRPr="00F45498">
        <w:rPr>
          <w:lang w:eastAsia="en-AU"/>
        </w:rPr>
        <w:t>Note: Previously included in 2.1.3 Common Uplift</w:t>
      </w:r>
    </w:p>
  </w:footnote>
  <w:footnote w:id="5">
    <w:p w14:paraId="293CEA99" w14:textId="20471566" w:rsidR="00A30525" w:rsidRDefault="00A30525">
      <w:pPr>
        <w:pStyle w:val="FootnoteText"/>
      </w:pPr>
      <w:r>
        <w:rPr>
          <w:rStyle w:val="FootnoteReference"/>
        </w:rPr>
        <w:footnoteRef/>
      </w:r>
      <w:r>
        <w:t xml:space="preserve"> </w:t>
      </w:r>
      <w:r w:rsidRPr="00A30525">
        <w:t>Note: Previously 2.1.2 Surprise Uplift</w:t>
      </w:r>
    </w:p>
  </w:footnote>
  <w:footnote w:id="6">
    <w:p w14:paraId="130B68E4" w14:textId="25816D37" w:rsidR="00A30525" w:rsidRDefault="00A30525">
      <w:pPr>
        <w:pStyle w:val="FootnoteText"/>
      </w:pPr>
      <w:r>
        <w:rPr>
          <w:rStyle w:val="FootnoteReference"/>
        </w:rPr>
        <w:footnoteRef/>
      </w:r>
      <w:r>
        <w:t xml:space="preserve"> </w:t>
      </w:r>
      <w:r w:rsidRPr="00A30525">
        <w:t>Note: Previously 2.1.3 Common Uplift</w:t>
      </w:r>
    </w:p>
  </w:footnote>
  <w:footnote w:id="7">
    <w:p w14:paraId="0B32BBEB" w14:textId="4C3FFED2" w:rsidR="00D3586F" w:rsidRDefault="00D3586F">
      <w:pPr>
        <w:pStyle w:val="FootnoteText"/>
      </w:pPr>
      <w:r>
        <w:rPr>
          <w:rStyle w:val="FootnoteReference"/>
        </w:rPr>
        <w:footnoteRef/>
      </w:r>
      <w:r>
        <w:t xml:space="preserve"> </w:t>
      </w:r>
      <w:r w:rsidRPr="00D3586F">
        <w:t>Note: Previously Uplift Payment Procedures Section 4 Calculation of market participant effective demand forecast</w:t>
      </w:r>
    </w:p>
  </w:footnote>
  <w:footnote w:id="8">
    <w:p w14:paraId="076E45F4" w14:textId="28D1CA6E" w:rsidR="00AA5A5E" w:rsidRDefault="00AA5A5E">
      <w:pPr>
        <w:pStyle w:val="FootnoteText"/>
      </w:pPr>
      <w:r>
        <w:rPr>
          <w:rStyle w:val="FootnoteReference"/>
        </w:rPr>
        <w:footnoteRef/>
      </w:r>
      <w:r w:rsidRPr="00AA5A5E">
        <w:t xml:space="preserve">minor editorial and numbering changes from uplift payment procedures </w:t>
      </w:r>
      <w:r w:rsidR="00632F71" w:rsidRPr="00AA5A5E">
        <w:t>V3.0 section</w:t>
      </w:r>
      <w:r w:rsidRPr="00AA5A5E">
        <w:t xml:space="preserve"> 5</w:t>
      </w:r>
      <w:r>
        <w:t xml:space="preserve"> </w:t>
      </w:r>
    </w:p>
  </w:footnote>
  <w:footnote w:id="9">
    <w:p w14:paraId="581F83B2" w14:textId="5A1E6A91" w:rsidR="008F1E99" w:rsidRDefault="008F1E99">
      <w:pPr>
        <w:pStyle w:val="FootnoteText"/>
      </w:pPr>
      <w:r>
        <w:rPr>
          <w:rStyle w:val="FootnoteReference"/>
        </w:rPr>
        <w:footnoteRef/>
      </w:r>
      <w:r>
        <w:t xml:space="preserve"> </w:t>
      </w:r>
      <w:r w:rsidRPr="008F1E99">
        <w:t>With minor editorial and numbering changes from uplift payment procedures V3.0 Section 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7FA19" w14:textId="77777777" w:rsidR="00B402DD" w:rsidRDefault="00B402DD" w:rsidP="00090AF7">
    <w:r>
      <w:rPr>
        <w:noProof/>
        <w:color w:val="2B579A"/>
        <w:shd w:val="clear" w:color="auto" w:fill="E6E6E6"/>
        <w:lang w:eastAsia="en-AU"/>
      </w:rPr>
      <w:drawing>
        <wp:anchor distT="0" distB="0" distL="114300" distR="114300" simplePos="0" relativeHeight="251658252" behindDoc="1" locked="0" layoutInCell="1" allowOverlap="1" wp14:anchorId="77EDDBE8" wp14:editId="7B1A43F8">
          <wp:simplePos x="0" y="0"/>
          <wp:positionH relativeFrom="page">
            <wp:posOffset>0</wp:posOffset>
          </wp:positionH>
          <wp:positionV relativeFrom="page">
            <wp:posOffset>462</wp:posOffset>
          </wp:positionV>
          <wp:extent cx="7555865" cy="10683585"/>
          <wp:effectExtent l="0" t="0" r="6985" b="38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65" cy="106835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2B579A"/>
        <w:shd w:val="clear" w:color="auto" w:fill="E6E6E6"/>
        <w:lang w:eastAsia="en-AU"/>
      </w:rPr>
      <mc:AlternateContent>
        <mc:Choice Requires="wps">
          <w:drawing>
            <wp:anchor distT="0" distB="0" distL="114300" distR="114300" simplePos="0" relativeHeight="251658253" behindDoc="0" locked="1" layoutInCell="1" allowOverlap="1" wp14:anchorId="39AE887D" wp14:editId="77B705F0">
              <wp:simplePos x="0" y="0"/>
              <wp:positionH relativeFrom="page">
                <wp:posOffset>0</wp:posOffset>
              </wp:positionH>
              <wp:positionV relativeFrom="page">
                <wp:posOffset>2495550</wp:posOffset>
              </wp:positionV>
              <wp:extent cx="7559675" cy="7089775"/>
              <wp:effectExtent l="0" t="0" r="3175" b="0"/>
              <wp:wrapNone/>
              <wp:docPr id="37" name="Rectangle 37"/>
              <wp:cNvGraphicFramePr/>
              <a:graphic xmlns:a="http://schemas.openxmlformats.org/drawingml/2006/main">
                <a:graphicData uri="http://schemas.microsoft.com/office/word/2010/wordprocessingShape">
                  <wps:wsp>
                    <wps:cNvSpPr/>
                    <wps:spPr>
                      <a:xfrm>
                        <a:off x="0" y="0"/>
                        <a:ext cx="7559675" cy="7089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BF554" id="Rectangle 37" o:spid="_x0000_s1026" style="position:absolute;margin-left:0;margin-top:196.5pt;width:595.25pt;height:558.25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" fillcolor="white [3212]" stroked="f" strokeweight="2pt">
              <w10:wrap anchorx="page" anchory="page"/>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4"/>
    </w:tblGrid>
    <w:tr w:rsidR="00B402DD" w14:paraId="04E2E947" w14:textId="77777777" w:rsidTr="00090AF7">
      <w:trPr>
        <w:trHeight w:hRule="exact" w:val="2789"/>
      </w:trPr>
      <w:tc>
        <w:tcPr>
          <w:tcW w:w="9184" w:type="dxa"/>
        </w:tcPr>
        <w:p w14:paraId="5AB24A8D" w14:textId="77777777" w:rsidR="00B402DD" w:rsidRDefault="00B402DD" w:rsidP="003A585A">
          <w:pPr>
            <w:pStyle w:val="Header"/>
          </w:pPr>
        </w:p>
      </w:tc>
    </w:tr>
  </w:tbl>
  <w:p w14:paraId="101C0B68" w14:textId="77777777" w:rsidR="00B402DD" w:rsidRPr="00D34E41" w:rsidRDefault="00B402DD" w:rsidP="003A585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CC5AC" w14:textId="77777777" w:rsidR="00B402DD" w:rsidRDefault="00B40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39C9C" w14:textId="77777777" w:rsidR="00B402DD" w:rsidRDefault="00B402DD" w:rsidP="00BD6C4C">
    <w:pPr>
      <w:pStyle w:val="Header"/>
    </w:pPr>
    <w:r>
      <w:rPr>
        <w:color w:val="2B579A"/>
        <w:shd w:val="clear" w:color="auto" w:fill="E6E6E6"/>
      </w:rPr>
      <w:drawing>
        <wp:anchor distT="0" distB="0" distL="114300" distR="114300" simplePos="0" relativeHeight="251658241" behindDoc="0" locked="0" layoutInCell="1" allowOverlap="1" wp14:anchorId="436BC2EC" wp14:editId="18219F98">
          <wp:simplePos x="0" y="0"/>
          <wp:positionH relativeFrom="column">
            <wp:posOffset>-302895</wp:posOffset>
          </wp:positionH>
          <wp:positionV relativeFrom="paragraph">
            <wp:posOffset>-30480</wp:posOffset>
          </wp:positionV>
          <wp:extent cx="213862" cy="213995"/>
          <wp:effectExtent l="0" t="0" r="0" b="0"/>
          <wp:wrapNone/>
          <wp:docPr id="6" name="Elec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Elec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rPr>
        <w:color w:val="2B579A"/>
        <w:shd w:val="clear" w:color="auto" w:fill="E6E6E6"/>
      </w:rPr>
      <w:drawing>
        <wp:anchor distT="0" distB="0" distL="114300" distR="114300" simplePos="0" relativeHeight="251658242" behindDoc="0" locked="0" layoutInCell="1" allowOverlap="1" wp14:anchorId="5CF4451C" wp14:editId="220C3A89">
          <wp:simplePos x="0" y="0"/>
          <wp:positionH relativeFrom="column">
            <wp:posOffset>-301704</wp:posOffset>
          </wp:positionH>
          <wp:positionV relativeFrom="paragraph">
            <wp:posOffset>-29845</wp:posOffset>
          </wp:positionV>
          <wp:extent cx="213862" cy="213995"/>
          <wp:effectExtent l="0" t="0" r="0" b="0"/>
          <wp:wrapNone/>
          <wp:docPr id="7" name="Gas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Gas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rPr>
        <w:color w:val="2B579A"/>
        <w:position w:val="-10"/>
        <w:shd w:val="clear" w:color="auto" w:fill="E6E6E6"/>
      </w:rPr>
      <mc:AlternateContent>
        <mc:Choice Requires="wpg">
          <w:drawing>
            <wp:anchor distT="0" distB="0" distL="114300" distR="114300" simplePos="0" relativeHeight="251658240" behindDoc="0" locked="0" layoutInCell="1" allowOverlap="1" wp14:anchorId="4A2E5ACF" wp14:editId="6F5E8426">
              <wp:simplePos x="0" y="0"/>
              <wp:positionH relativeFrom="column">
                <wp:posOffset>-565471</wp:posOffset>
              </wp:positionH>
              <wp:positionV relativeFrom="paragraph">
                <wp:posOffset>-34120</wp:posOffset>
              </wp:positionV>
              <wp:extent cx="476546" cy="213995"/>
              <wp:effectExtent l="0" t="0" r="0" b="0"/>
              <wp:wrapNone/>
              <wp:docPr id="308" name="BothIcons"/>
              <wp:cNvGraphicFramePr/>
              <a:graphic xmlns:a="http://schemas.openxmlformats.org/drawingml/2006/main">
                <a:graphicData uri="http://schemas.microsoft.com/office/word/2010/wordprocessingGroup">
                  <wpg:wgp>
                    <wpg:cNvGrpSpPr/>
                    <wpg:grpSpPr>
                      <a:xfrm>
                        <a:off x="0" y="0"/>
                        <a:ext cx="476546" cy="213995"/>
                        <a:chOff x="0" y="0"/>
                        <a:chExt cx="476546" cy="213995"/>
                      </a:xfrm>
                    </wpg:grpSpPr>
                    <pic:pic xmlns:pic="http://schemas.openxmlformats.org/drawingml/2006/picture">
                      <pic:nvPicPr>
                        <pic:cNvPr id="309" name="Elec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w="9525">
                          <a:noFill/>
                          <a:miter lim="800000"/>
                          <a:headEnd/>
                          <a:tailEnd/>
                        </a:ln>
                      </pic:spPr>
                    </pic:pic>
                    <pic:pic xmlns:pic="http://schemas.openxmlformats.org/drawingml/2006/picture">
                      <pic:nvPicPr>
                        <pic:cNvPr id="311" name="Gas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62551" y="0"/>
                          <a:ext cx="213995" cy="213995"/>
                        </a:xfrm>
                        <a:prstGeom prst="rect">
                          <a:avLst/>
                        </a:prstGeom>
                        <a:noFill/>
                        <a:ln w="9525">
                          <a:noFill/>
                          <a:miter lim="800000"/>
                          <a:headEnd/>
                          <a:tailEnd/>
                        </a:ln>
                      </pic:spPr>
                    </pic:pic>
                  </wpg:wgp>
                </a:graphicData>
              </a:graphic>
            </wp:anchor>
          </w:drawing>
        </mc:Choice>
        <mc:Fallback>
          <w:pict>
            <v:group w14:anchorId="640632B8" id="BothIcons" o:spid="_x0000_s1026" style="position:absolute;margin-left:-44.55pt;margin-top:-2.7pt;width:37.5pt;height:16.85pt;z-index:251658240" coordsize="476546,21399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lecIcon" o:spid="_x0000_s1027" type="#_x0000_t75" style="position:absolute;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">
                <v:imagedata r:id="rId3" o:title=""/>
              </v:shape>
              <v:shape id="GasIcon" o:spid="_x0000_s1028" type="#_x0000_t75" style="position:absolute;left:262551;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">
                <v:imagedata r:id="rId4" o:title=""/>
              </v:shape>
            </v:group>
          </w:pict>
        </mc:Fallback>
      </mc:AlternateContent>
    </w:r>
    <w:r>
      <w:rPr>
        <w:color w:val="2B579A"/>
        <w:position w:val="-10"/>
        <w:shd w:val="clear" w:color="auto" w:fill="E6E6E6"/>
      </w:rPr>
      <w:drawing>
        <wp:anchor distT="0" distB="0" distL="114300" distR="114300" simplePos="0" relativeHeight="251658243" behindDoc="1" locked="0" layoutInCell="1" allowOverlap="1" wp14:anchorId="1800948D" wp14:editId="694FAAAE">
          <wp:simplePos x="0" y="0"/>
          <wp:positionH relativeFrom="page">
            <wp:posOffset>0</wp:posOffset>
          </wp:positionH>
          <wp:positionV relativeFrom="page">
            <wp:posOffset>0</wp:posOffset>
          </wp:positionV>
          <wp:extent cx="7570800" cy="925200"/>
          <wp:effectExtent l="0" t="0" r="0" b="8255"/>
          <wp:wrapNone/>
          <wp:docPr id="8" name="Picture 8" descr="C:\Users\Sean\Documents\Nakama\AEMO\bann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n\Documents\Nakama\AEMO\banner-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08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0CE6">
      <w:fldChar w:fldCharType="begin"/>
    </w:r>
    <w:r w:rsidR="003D0CE6">
      <w:instrText>STYLEREF  Title  \* MERGEFORMAT</w:instrText>
    </w:r>
    <w:r w:rsidR="003D0CE6">
      <w:fldChar w:fldCharType="separate"/>
    </w:r>
    <w:r>
      <w:t>EXternal procedureS</w:t>
    </w:r>
    <w:r w:rsidR="003D0CE6">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E3C4A" w14:textId="00777DEC" w:rsidR="00B402DD" w:rsidRPr="00BD6C4C" w:rsidRDefault="00B402DD" w:rsidP="00BD6C4C">
    <w:pPr>
      <w:pStyle w:val="Header"/>
    </w:pPr>
    <w:r>
      <w:rPr>
        <w:color w:val="2B579A"/>
        <w:shd w:val="clear" w:color="auto" w:fill="E6E6E6"/>
      </w:rPr>
      <w:fldChar w:fldCharType="begin"/>
    </w:r>
    <w:r w:rsidRPr="00C63C58">
      <w:instrText xml:space="preserve"> STYLEREF  Title  \* MERGEFORMAT </w:instrText>
    </w:r>
    <w:r>
      <w:rPr>
        <w:color w:val="2B579A"/>
        <w:shd w:val="clear" w:color="auto" w:fill="E6E6E6"/>
      </w:rPr>
      <w:fldChar w:fldCharType="separate"/>
    </w:r>
    <w:r w:rsidR="009936BA">
      <w:t>WHOLESALE MARKET UPLIFT PAYMENT PROCEDURES (VICTORIA)</w:t>
    </w:r>
    <w:r>
      <w:rPr>
        <w:color w:val="2B579A"/>
        <w:shd w:val="clear" w:color="auto" w:fill="E6E6E6"/>
      </w:rPr>
      <w:fldChar w:fldCharType="end"/>
    </w:r>
    <w:r w:rsidRPr="00BD6C4C">
      <w:rPr>
        <w:color w:val="2B579A"/>
        <w:shd w:val="clear" w:color="auto" w:fill="E6E6E6"/>
      </w:rPr>
      <w:drawing>
        <wp:anchor distT="0" distB="0" distL="114300" distR="114300" simplePos="0" relativeHeight="251658248" behindDoc="1" locked="1" layoutInCell="1" allowOverlap="1" wp14:anchorId="3053BDAA" wp14:editId="179FDE2E">
          <wp:simplePos x="0" y="0"/>
          <wp:positionH relativeFrom="page">
            <wp:posOffset>5664835</wp:posOffset>
          </wp:positionH>
          <wp:positionV relativeFrom="page">
            <wp:posOffset>382270</wp:posOffset>
          </wp:positionV>
          <wp:extent cx="1493520" cy="496570"/>
          <wp:effectExtent l="0" t="0" r="0" b="0"/>
          <wp:wrapTight wrapText="bothSides">
            <wp:wrapPolygon edited="0">
              <wp:start x="0" y="0"/>
              <wp:lineTo x="0" y="20716"/>
              <wp:lineTo x="21214" y="20716"/>
              <wp:lineTo x="21214" y="0"/>
              <wp:lineTo x="0" y="0"/>
            </wp:wrapPolygon>
          </wp:wrapTight>
          <wp:docPr id="9" name="AEMO Logo"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4D674" w14:textId="77777777" w:rsidR="00B402DD" w:rsidRDefault="00B402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F8ECB" w14:textId="77777777" w:rsidR="00B402DD" w:rsidRPr="00710277" w:rsidRDefault="00B402DD" w:rsidP="00BD6C4C">
    <w:pPr>
      <w:pStyle w:val="Header"/>
    </w:pPr>
    <w:r>
      <w:rPr>
        <w:color w:val="2B579A"/>
        <w:shd w:val="clear" w:color="auto" w:fill="E6E6E6"/>
      </w:rPr>
      <w:drawing>
        <wp:anchor distT="0" distB="0" distL="114300" distR="114300" simplePos="0" relativeHeight="251658245" behindDoc="0" locked="0" layoutInCell="1" allowOverlap="1" wp14:anchorId="6CB88056" wp14:editId="7D2066AA">
          <wp:simplePos x="0" y="0"/>
          <wp:positionH relativeFrom="column">
            <wp:posOffset>-302895</wp:posOffset>
          </wp:positionH>
          <wp:positionV relativeFrom="paragraph">
            <wp:posOffset>-30480</wp:posOffset>
          </wp:positionV>
          <wp:extent cx="213862" cy="213995"/>
          <wp:effectExtent l="0" t="0" r="0" b="0"/>
          <wp:wrapNone/>
          <wp:docPr id="11" name="Elec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Elec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rPr>
        <w:color w:val="2B579A"/>
        <w:shd w:val="clear" w:color="auto" w:fill="E6E6E6"/>
      </w:rPr>
      <w:drawing>
        <wp:anchor distT="0" distB="0" distL="114300" distR="114300" simplePos="0" relativeHeight="251658246" behindDoc="0" locked="0" layoutInCell="1" allowOverlap="1" wp14:anchorId="5F0F78AC" wp14:editId="6F95547E">
          <wp:simplePos x="0" y="0"/>
          <wp:positionH relativeFrom="column">
            <wp:posOffset>-301704</wp:posOffset>
          </wp:positionH>
          <wp:positionV relativeFrom="paragraph">
            <wp:posOffset>-29845</wp:posOffset>
          </wp:positionV>
          <wp:extent cx="213862" cy="213995"/>
          <wp:effectExtent l="0" t="0" r="0" b="0"/>
          <wp:wrapNone/>
          <wp:docPr id="12" name="Gas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Gas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rPr>
        <w:color w:val="2B579A"/>
        <w:position w:val="-10"/>
        <w:shd w:val="clear" w:color="auto" w:fill="E6E6E6"/>
      </w:rPr>
      <mc:AlternateContent>
        <mc:Choice Requires="wpg">
          <w:drawing>
            <wp:anchor distT="0" distB="0" distL="114300" distR="114300" simplePos="0" relativeHeight="251658244" behindDoc="0" locked="0" layoutInCell="1" allowOverlap="1" wp14:anchorId="4ED76932" wp14:editId="38EB9415">
              <wp:simplePos x="0" y="0"/>
              <wp:positionH relativeFrom="column">
                <wp:posOffset>-565471</wp:posOffset>
              </wp:positionH>
              <wp:positionV relativeFrom="paragraph">
                <wp:posOffset>-34120</wp:posOffset>
              </wp:positionV>
              <wp:extent cx="476546" cy="213995"/>
              <wp:effectExtent l="0" t="0" r="0" b="0"/>
              <wp:wrapNone/>
              <wp:docPr id="312" name="BothIcons"/>
              <wp:cNvGraphicFramePr/>
              <a:graphic xmlns:a="http://schemas.openxmlformats.org/drawingml/2006/main">
                <a:graphicData uri="http://schemas.microsoft.com/office/word/2010/wordprocessingGroup">
                  <wpg:wgp>
                    <wpg:cNvGrpSpPr/>
                    <wpg:grpSpPr>
                      <a:xfrm>
                        <a:off x="0" y="0"/>
                        <a:ext cx="476546" cy="213995"/>
                        <a:chOff x="0" y="0"/>
                        <a:chExt cx="476546" cy="213995"/>
                      </a:xfrm>
                    </wpg:grpSpPr>
                    <pic:pic xmlns:pic="http://schemas.openxmlformats.org/drawingml/2006/picture">
                      <pic:nvPicPr>
                        <pic:cNvPr id="313" name="Elec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w="9525">
                          <a:noFill/>
                          <a:miter lim="800000"/>
                          <a:headEnd/>
                          <a:tailEnd/>
                        </a:ln>
                      </pic:spPr>
                    </pic:pic>
                    <pic:pic xmlns:pic="http://schemas.openxmlformats.org/drawingml/2006/picture">
                      <pic:nvPicPr>
                        <pic:cNvPr id="314" name="Gas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62551" y="0"/>
                          <a:ext cx="213995" cy="213995"/>
                        </a:xfrm>
                        <a:prstGeom prst="rect">
                          <a:avLst/>
                        </a:prstGeom>
                        <a:noFill/>
                        <a:ln w="9525">
                          <a:noFill/>
                          <a:miter lim="800000"/>
                          <a:headEnd/>
                          <a:tailEnd/>
                        </a:ln>
                      </pic:spPr>
                    </pic:pic>
                  </wpg:wgp>
                </a:graphicData>
              </a:graphic>
            </wp:anchor>
          </w:drawing>
        </mc:Choice>
        <mc:Fallback>
          <w:pict>
            <v:group w14:anchorId="2422CE2B" id="BothIcons" o:spid="_x0000_s1026" style="position:absolute;margin-left:-44.55pt;margin-top:-2.7pt;width:37.5pt;height:16.85pt;z-index:251658244" coordsize="476546,21399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lecIcon" o:spid="_x0000_s1027" type="#_x0000_t75" style="position:absolute;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">
                <v:imagedata r:id="rId3" o:title=""/>
              </v:shape>
              <v:shape id="GasIcon" o:spid="_x0000_s1028" type="#_x0000_t75" style="position:absolute;left:262551;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">
                <v:imagedata r:id="rId4" o:title=""/>
              </v:shape>
            </v:group>
          </w:pict>
        </mc:Fallback>
      </mc:AlternateContent>
    </w:r>
    <w:r>
      <w:rPr>
        <w:color w:val="2B579A"/>
        <w:position w:val="-10"/>
        <w:shd w:val="clear" w:color="auto" w:fill="E6E6E6"/>
      </w:rPr>
      <w:drawing>
        <wp:anchor distT="0" distB="0" distL="114300" distR="114300" simplePos="0" relativeHeight="251658247" behindDoc="1" locked="0" layoutInCell="1" allowOverlap="1" wp14:anchorId="409CB934" wp14:editId="5779D5FB">
          <wp:simplePos x="0" y="0"/>
          <wp:positionH relativeFrom="page">
            <wp:posOffset>0</wp:posOffset>
          </wp:positionH>
          <wp:positionV relativeFrom="page">
            <wp:posOffset>0</wp:posOffset>
          </wp:positionV>
          <wp:extent cx="7570800" cy="925200"/>
          <wp:effectExtent l="0" t="0" r="0" b="8255"/>
          <wp:wrapNone/>
          <wp:docPr id="13" name="Picture 13" descr="C:\Users\Sean\Documents\Nakama\AEMO\bann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n\Documents\Nakama\AEMO\banner-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08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0CE6">
      <w:fldChar w:fldCharType="begin"/>
    </w:r>
    <w:r w:rsidR="003D0CE6">
      <w:instrText>STYLEREF  Title  \* MERGEFORMAT</w:instrText>
    </w:r>
    <w:r w:rsidR="003D0CE6">
      <w:fldChar w:fldCharType="separate"/>
    </w:r>
    <w:r>
      <w:t>EXternal procedureS</w:t>
    </w:r>
    <w:r w:rsidR="003D0CE6">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63230" w14:textId="4D9141F8" w:rsidR="00B402DD" w:rsidRPr="00BD6C4C" w:rsidRDefault="00B402DD" w:rsidP="00B109A1">
    <w:pPr>
      <w:pStyle w:val="Header"/>
    </w:pPr>
    <w:r>
      <w:rPr>
        <w:color w:val="2B579A"/>
        <w:shd w:val="clear" w:color="auto" w:fill="E6E6E6"/>
      </w:rPr>
      <w:fldChar w:fldCharType="begin"/>
    </w:r>
    <w:r w:rsidRPr="00C63C58">
      <w:instrText xml:space="preserve"> STYLEREF  Title  \* MERGEFORMAT </w:instrText>
    </w:r>
    <w:r>
      <w:rPr>
        <w:color w:val="2B579A"/>
        <w:shd w:val="clear" w:color="auto" w:fill="E6E6E6"/>
      </w:rPr>
      <w:fldChar w:fldCharType="separate"/>
    </w:r>
    <w:r w:rsidR="009936BA">
      <w:t>WHOLESALE MARKET UPLIFT PAYMENT PROCEDURES (VICTORIA)</w:t>
    </w:r>
    <w:r>
      <w:rPr>
        <w:color w:val="2B579A"/>
        <w:shd w:val="clear" w:color="auto" w:fill="E6E6E6"/>
      </w:rPr>
      <w:fldChar w:fldCharType="end"/>
    </w:r>
    <w:r w:rsidRPr="00BD6C4C">
      <w:rPr>
        <w:color w:val="2B579A"/>
        <w:shd w:val="clear" w:color="auto" w:fill="E6E6E6"/>
      </w:rPr>
      <w:drawing>
        <wp:anchor distT="0" distB="0" distL="114300" distR="114300" simplePos="0" relativeHeight="251658250" behindDoc="1" locked="1" layoutInCell="1" allowOverlap="1" wp14:anchorId="7812F312" wp14:editId="0A03E12B">
          <wp:simplePos x="0" y="0"/>
          <wp:positionH relativeFrom="page">
            <wp:posOffset>5664835</wp:posOffset>
          </wp:positionH>
          <wp:positionV relativeFrom="page">
            <wp:posOffset>382270</wp:posOffset>
          </wp:positionV>
          <wp:extent cx="1493520" cy="496570"/>
          <wp:effectExtent l="0" t="0" r="0" b="0"/>
          <wp:wrapTight wrapText="bothSides">
            <wp:wrapPolygon edited="0">
              <wp:start x="0" y="0"/>
              <wp:lineTo x="0" y="20716"/>
              <wp:lineTo x="21214" y="20716"/>
              <wp:lineTo x="21214" y="0"/>
              <wp:lineTo x="0" y="0"/>
            </wp:wrapPolygon>
          </wp:wrapTight>
          <wp:docPr id="14" name="AEMO Logo"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3478F" w14:textId="77777777" w:rsidR="00B402DD" w:rsidRDefault="00B402D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582F1" w14:textId="77777777" w:rsidR="00B402DD" w:rsidRDefault="00B402DD">
    <w:pPr>
      <w:pStyle w:val="Header"/>
    </w:pPr>
  </w:p>
  <w:p w14:paraId="7F0D101E" w14:textId="77777777" w:rsidR="00B402DD" w:rsidRDefault="00B402D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38115" w14:textId="1DE84EF4" w:rsidR="00B402DD" w:rsidRDefault="00B402DD" w:rsidP="00BC3A8F">
    <w:pPr>
      <w:pStyle w:val="Header"/>
    </w:pPr>
    <w:r>
      <w:rPr>
        <w:color w:val="2B579A"/>
        <w:shd w:val="clear" w:color="auto" w:fill="E6E6E6"/>
      </w:rPr>
      <w:fldChar w:fldCharType="begin"/>
    </w:r>
    <w:r w:rsidRPr="00C63C58">
      <w:instrText xml:space="preserve"> STYLEREF  Title  \* MERGEFORMAT </w:instrText>
    </w:r>
    <w:r>
      <w:rPr>
        <w:color w:val="2B579A"/>
        <w:shd w:val="clear" w:color="auto" w:fill="E6E6E6"/>
      </w:rPr>
      <w:fldChar w:fldCharType="separate"/>
    </w:r>
    <w:r w:rsidR="009936BA">
      <w:t>WHOLESALE MARKET UPLIFT PAYMENT PROCEDURES (VICTORIA)</w:t>
    </w:r>
    <w:r>
      <w:rPr>
        <w:color w:val="2B579A"/>
        <w:shd w:val="clear" w:color="auto" w:fill="E6E6E6"/>
      </w:rPr>
      <w:fldChar w:fldCharType="end"/>
    </w:r>
    <w:r w:rsidRPr="00BD6C4C">
      <w:rPr>
        <w:color w:val="2B579A"/>
        <w:shd w:val="clear" w:color="auto" w:fill="E6E6E6"/>
      </w:rPr>
      <w:drawing>
        <wp:anchor distT="0" distB="0" distL="114300" distR="114300" simplePos="0" relativeHeight="251658251" behindDoc="1" locked="1" layoutInCell="1" allowOverlap="1" wp14:anchorId="51E1EA30" wp14:editId="62E21CC9">
          <wp:simplePos x="0" y="0"/>
          <wp:positionH relativeFrom="page">
            <wp:posOffset>5664835</wp:posOffset>
          </wp:positionH>
          <wp:positionV relativeFrom="page">
            <wp:posOffset>382270</wp:posOffset>
          </wp:positionV>
          <wp:extent cx="1493520" cy="496570"/>
          <wp:effectExtent l="0" t="0" r="0" b="0"/>
          <wp:wrapTight wrapText="bothSides">
            <wp:wrapPolygon edited="0">
              <wp:start x="0" y="0"/>
              <wp:lineTo x="0" y="20716"/>
              <wp:lineTo x="21214" y="20716"/>
              <wp:lineTo x="21214" y="0"/>
              <wp:lineTo x="0" y="0"/>
            </wp:wrapPolygon>
          </wp:wrapTight>
          <wp:docPr id="18" name="AEMO Logo"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50F3"/>
    <w:multiLevelType w:val="multilevel"/>
    <w:tmpl w:val="CFD4A398"/>
    <w:lvl w:ilvl="0">
      <w:start w:val="1"/>
      <w:numFmt w:val="decimal"/>
      <w:pStyle w:val="ScheduleSection"/>
      <w:lvlText w:val="Schedule %1."/>
      <w:lvlJc w:val="left"/>
      <w:pPr>
        <w:ind w:left="0" w:firstLine="0"/>
      </w:pPr>
      <w:rPr>
        <w:rFonts w:hint="default"/>
      </w:rPr>
    </w:lvl>
    <w:lvl w:ilvl="1">
      <w:start w:val="1"/>
      <w:numFmt w:val="none"/>
      <w:pStyle w:val="SchedHdg1"/>
      <w:lvlText w:val="S%1"/>
      <w:lvlJc w:val="left"/>
      <w:pPr>
        <w:tabs>
          <w:tab w:val="num" w:pos="709"/>
        </w:tabs>
        <w:ind w:left="709" w:hanging="709"/>
      </w:pPr>
      <w:rPr>
        <w:rFonts w:hint="default"/>
      </w:rPr>
    </w:lvl>
    <w:lvl w:ilvl="2">
      <w:start w:val="1"/>
      <w:numFmt w:val="decimal"/>
      <w:pStyle w:val="SchedHdg2"/>
      <w:lvlText w:val="S%1.%3"/>
      <w:lvlJc w:val="left"/>
      <w:pPr>
        <w:tabs>
          <w:tab w:val="num" w:pos="709"/>
        </w:tabs>
        <w:ind w:left="709" w:hanging="709"/>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EA084E"/>
    <w:multiLevelType w:val="multilevel"/>
    <w:tmpl w:val="38D47CD2"/>
    <w:lvl w:ilvl="0">
      <w:start w:val="1"/>
      <w:numFmt w:val="lowerLetter"/>
      <w:pStyle w:val="TableList"/>
      <w:lvlText w:val="%1)"/>
      <w:lvlJc w:val="left"/>
      <w:pPr>
        <w:tabs>
          <w:tab w:val="num" w:pos="170"/>
        </w:tabs>
        <w:ind w:left="170" w:hanging="170"/>
      </w:pPr>
      <w:rPr>
        <w:rFonts w:hint="default"/>
      </w:rPr>
    </w:lvl>
    <w:lvl w:ilvl="1">
      <w:start w:val="1"/>
      <w:numFmt w:val="lowerLetter"/>
      <w:lvlText w:val="%2."/>
      <w:lvlJc w:val="left"/>
      <w:pPr>
        <w:ind w:left="1876" w:hanging="360"/>
      </w:pPr>
      <w:rPr>
        <w:rFonts w:hint="default"/>
      </w:rPr>
    </w:lvl>
    <w:lvl w:ilvl="2">
      <w:start w:val="1"/>
      <w:numFmt w:val="lowerRoman"/>
      <w:lvlText w:val="%3."/>
      <w:lvlJc w:val="right"/>
      <w:pPr>
        <w:ind w:left="2596" w:hanging="180"/>
      </w:pPr>
      <w:rPr>
        <w:rFonts w:hint="default"/>
      </w:rPr>
    </w:lvl>
    <w:lvl w:ilvl="3">
      <w:start w:val="1"/>
      <w:numFmt w:val="decimal"/>
      <w:lvlText w:val="%4."/>
      <w:lvlJc w:val="left"/>
      <w:pPr>
        <w:ind w:left="3316" w:hanging="360"/>
      </w:pPr>
      <w:rPr>
        <w:rFonts w:hint="default"/>
      </w:rPr>
    </w:lvl>
    <w:lvl w:ilvl="4">
      <w:start w:val="1"/>
      <w:numFmt w:val="lowerLetter"/>
      <w:lvlText w:val="%5."/>
      <w:lvlJc w:val="left"/>
      <w:pPr>
        <w:ind w:left="4036" w:hanging="360"/>
      </w:pPr>
      <w:rPr>
        <w:rFonts w:hint="default"/>
      </w:rPr>
    </w:lvl>
    <w:lvl w:ilvl="5">
      <w:start w:val="1"/>
      <w:numFmt w:val="lowerRoman"/>
      <w:lvlText w:val="%6."/>
      <w:lvlJc w:val="right"/>
      <w:pPr>
        <w:ind w:left="4756" w:hanging="180"/>
      </w:pPr>
      <w:rPr>
        <w:rFonts w:hint="default"/>
      </w:rPr>
    </w:lvl>
    <w:lvl w:ilvl="6">
      <w:start w:val="1"/>
      <w:numFmt w:val="decimal"/>
      <w:lvlText w:val="%7."/>
      <w:lvlJc w:val="left"/>
      <w:pPr>
        <w:ind w:left="5476" w:hanging="360"/>
      </w:pPr>
      <w:rPr>
        <w:rFonts w:hint="default"/>
      </w:rPr>
    </w:lvl>
    <w:lvl w:ilvl="7">
      <w:start w:val="1"/>
      <w:numFmt w:val="lowerLetter"/>
      <w:lvlText w:val="%8."/>
      <w:lvlJc w:val="left"/>
      <w:pPr>
        <w:ind w:left="6196" w:hanging="360"/>
      </w:pPr>
      <w:rPr>
        <w:rFonts w:hint="default"/>
      </w:rPr>
    </w:lvl>
    <w:lvl w:ilvl="8">
      <w:start w:val="1"/>
      <w:numFmt w:val="lowerRoman"/>
      <w:lvlText w:val="%9."/>
      <w:lvlJc w:val="right"/>
      <w:pPr>
        <w:ind w:left="6916" w:hanging="180"/>
      </w:pPr>
      <w:rPr>
        <w:rFonts w:hint="default"/>
      </w:rPr>
    </w:lvl>
  </w:abstractNum>
  <w:abstractNum w:abstractNumId="2" w15:restartNumberingAfterBreak="0">
    <w:nsid w:val="077C4B70"/>
    <w:multiLevelType w:val="multilevel"/>
    <w:tmpl w:val="CE7E5436"/>
    <w:lvl w:ilvl="0">
      <w:start w:val="1"/>
      <w:numFmt w:val="upperLetter"/>
      <w:pStyle w:val="AppendixHeading1"/>
      <w:lvlText w:val="Appendix %1."/>
      <w:lvlJc w:val="left"/>
      <w:pPr>
        <w:tabs>
          <w:tab w:val="num" w:pos="2126"/>
        </w:tabs>
        <w:ind w:left="0" w:firstLine="0"/>
      </w:pPr>
      <w:rPr>
        <w:rFonts w:hint="default"/>
      </w:rPr>
    </w:lvl>
    <w:lvl w:ilvl="1">
      <w:start w:val="1"/>
      <w:numFmt w:val="decimal"/>
      <w:pStyle w:val="AppendixHeading2"/>
      <w:lvlText w:val="%1.%2"/>
      <w:lvlJc w:val="left"/>
      <w:pPr>
        <w:ind w:left="992" w:hanging="992"/>
      </w:pPr>
      <w:rPr>
        <w:rFonts w:hint="default"/>
      </w:rPr>
    </w:lvl>
    <w:lvl w:ilvl="2">
      <w:start w:val="1"/>
      <w:numFmt w:val="decimal"/>
      <w:pStyle w:val="AppendixHeading3"/>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3" w15:restartNumberingAfterBreak="0">
    <w:nsid w:val="07DB03A6"/>
    <w:multiLevelType w:val="hybridMultilevel"/>
    <w:tmpl w:val="7730DB9A"/>
    <w:lvl w:ilvl="0" w:tplc="65806E78">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2304DA"/>
    <w:multiLevelType w:val="multilevel"/>
    <w:tmpl w:val="BD46A44A"/>
    <w:lvl w:ilvl="0">
      <w:start w:val="1"/>
      <w:numFmt w:val="bullet"/>
      <w:lvlText w:val=""/>
      <w:lvlJc w:val="left"/>
      <w:pPr>
        <w:ind w:left="-689" w:hanging="283"/>
      </w:pPr>
      <w:rPr>
        <w:rFonts w:ascii="Symbol" w:hAnsi="Symbol" w:hint="default"/>
      </w:rPr>
    </w:lvl>
    <w:lvl w:ilvl="1">
      <w:start w:val="1"/>
      <w:numFmt w:val="bullet"/>
      <w:lvlText w:val=""/>
      <w:lvlJc w:val="left"/>
      <w:pPr>
        <w:ind w:left="-405" w:hanging="284"/>
      </w:pPr>
      <w:rPr>
        <w:rFonts w:ascii="Symbol" w:hAnsi="Symbol" w:hint="default"/>
      </w:rPr>
    </w:lvl>
    <w:lvl w:ilvl="2">
      <w:start w:val="1"/>
      <w:numFmt w:val="bullet"/>
      <w:lvlText w:val="○"/>
      <w:lvlJc w:val="left"/>
      <w:pPr>
        <w:ind w:left="-122" w:hanging="283"/>
      </w:pPr>
      <w:rPr>
        <w:rFonts w:ascii="Arial" w:hAnsi="Arial" w:hint="default"/>
        <w:color w:val="auto"/>
      </w:rPr>
    </w:lvl>
    <w:lvl w:ilvl="3">
      <w:start w:val="1"/>
      <w:numFmt w:val="decimal"/>
      <w:lvlText w:val="(%4)"/>
      <w:lvlJc w:val="left"/>
      <w:pPr>
        <w:ind w:left="163" w:hanging="283"/>
      </w:pPr>
      <w:rPr>
        <w:rFonts w:hint="default"/>
      </w:rPr>
    </w:lvl>
    <w:lvl w:ilvl="4">
      <w:start w:val="1"/>
      <w:numFmt w:val="lowerLetter"/>
      <w:lvlText w:val="(%5)"/>
      <w:lvlJc w:val="left"/>
      <w:pPr>
        <w:ind w:left="447" w:hanging="283"/>
      </w:pPr>
      <w:rPr>
        <w:rFonts w:hint="default"/>
      </w:rPr>
    </w:lvl>
    <w:lvl w:ilvl="5">
      <w:start w:val="1"/>
      <w:numFmt w:val="lowerRoman"/>
      <w:lvlText w:val="(%6)"/>
      <w:lvlJc w:val="left"/>
      <w:pPr>
        <w:ind w:left="731" w:hanging="283"/>
      </w:pPr>
      <w:rPr>
        <w:rFonts w:hint="default"/>
      </w:rPr>
    </w:lvl>
    <w:lvl w:ilvl="6">
      <w:start w:val="1"/>
      <w:numFmt w:val="decimal"/>
      <w:lvlText w:val="%7."/>
      <w:lvlJc w:val="left"/>
      <w:pPr>
        <w:ind w:left="1015" w:hanging="283"/>
      </w:pPr>
      <w:rPr>
        <w:rFonts w:hint="default"/>
      </w:rPr>
    </w:lvl>
    <w:lvl w:ilvl="7">
      <w:start w:val="1"/>
      <w:numFmt w:val="lowerLetter"/>
      <w:lvlText w:val="%8."/>
      <w:lvlJc w:val="left"/>
      <w:pPr>
        <w:ind w:left="1299" w:hanging="283"/>
      </w:pPr>
      <w:rPr>
        <w:rFonts w:hint="default"/>
      </w:rPr>
    </w:lvl>
    <w:lvl w:ilvl="8">
      <w:start w:val="1"/>
      <w:numFmt w:val="bullet"/>
      <w:lvlText w:val=""/>
      <w:lvlJc w:val="left"/>
      <w:pPr>
        <w:ind w:left="1583" w:hanging="283"/>
      </w:pPr>
      <w:rPr>
        <w:rFonts w:ascii="Symbol" w:hAnsi="Symbol" w:hint="default"/>
      </w:rPr>
    </w:lvl>
  </w:abstractNum>
  <w:abstractNum w:abstractNumId="5" w15:restartNumberingAfterBreak="0">
    <w:nsid w:val="11702DE0"/>
    <w:multiLevelType w:val="multilevel"/>
    <w:tmpl w:val="7C7ADC2E"/>
    <w:lvl w:ilvl="0">
      <w:start w:val="1"/>
      <w:numFmt w:val="decimal"/>
      <w:lvlText w:val="Chapter %1."/>
      <w:lvlJc w:val="left"/>
      <w:pPr>
        <w:tabs>
          <w:tab w:val="num" w:pos="2410"/>
        </w:tabs>
        <w:ind w:left="1701" w:hanging="1701"/>
      </w:pPr>
      <w:rPr>
        <w:rFonts w:hint="default"/>
      </w:rPr>
    </w:lvl>
    <w:lvl w:ilvl="1">
      <w:start w:val="1"/>
      <w:numFmt w:val="decimal"/>
      <w:lvlText w:val="%1.%2"/>
      <w:lvlJc w:val="left"/>
      <w:pPr>
        <w:tabs>
          <w:tab w:val="num" w:pos="992"/>
        </w:tabs>
        <w:ind w:left="709" w:hanging="709"/>
      </w:pPr>
      <w:rPr>
        <w:rFonts w:hint="default"/>
      </w:rPr>
    </w:lvl>
    <w:lvl w:ilvl="2">
      <w:start w:val="1"/>
      <w:numFmt w:val="decimal"/>
      <w:lvlText w:val="%1.%2.%3"/>
      <w:lvlJc w:val="left"/>
      <w:pPr>
        <w:tabs>
          <w:tab w:val="num" w:pos="992"/>
        </w:tabs>
        <w:ind w:left="709" w:hanging="709"/>
      </w:pPr>
      <w:rPr>
        <w:rFonts w:hint="default"/>
      </w:rPr>
    </w:lvl>
    <w:lvl w:ilvl="3">
      <w:start w:val="1"/>
      <w:numFmt w:val="lowerLetter"/>
      <w:pStyle w:val="ParaNum1"/>
      <w:lvlText w:val="(%4)"/>
      <w:lvlJc w:val="left"/>
      <w:pPr>
        <w:tabs>
          <w:tab w:val="num" w:pos="1276"/>
        </w:tabs>
        <w:ind w:left="1276" w:hanging="567"/>
      </w:pPr>
      <w:rPr>
        <w:rFonts w:hint="default"/>
      </w:rPr>
    </w:lvl>
    <w:lvl w:ilvl="4">
      <w:start w:val="1"/>
      <w:numFmt w:val="lowerRoman"/>
      <w:pStyle w:val="ParaNum2"/>
      <w:lvlText w:val="(%5)"/>
      <w:lvlJc w:val="left"/>
      <w:pPr>
        <w:tabs>
          <w:tab w:val="num" w:pos="1843"/>
        </w:tabs>
        <w:ind w:left="1843" w:hanging="567"/>
      </w:pPr>
      <w:rPr>
        <w:rFonts w:hint="default"/>
      </w:rPr>
    </w:lvl>
    <w:lvl w:ilvl="5">
      <w:start w:val="1"/>
      <w:numFmt w:val="upperLetter"/>
      <w:pStyle w:val="ParaNum3"/>
      <w:lvlText w:val="(%6)"/>
      <w:lvlJc w:val="left"/>
      <w:pPr>
        <w:tabs>
          <w:tab w:val="num" w:pos="2410"/>
        </w:tabs>
        <w:ind w:left="2410" w:hanging="567"/>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6" w15:restartNumberingAfterBreak="0">
    <w:nsid w:val="11BF0038"/>
    <w:multiLevelType w:val="multilevel"/>
    <w:tmpl w:val="1396BF20"/>
    <w:styleLink w:val="AttachmentList"/>
    <w:lvl w:ilvl="0">
      <w:start w:val="1"/>
      <w:numFmt w:val="upperLetter"/>
      <w:suff w:val="space"/>
      <w:lvlText w:val="Attachment %1 -"/>
      <w:lvlJc w:val="left"/>
      <w:pPr>
        <w:ind w:left="0" w:firstLine="0"/>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7" w15:restartNumberingAfterBreak="0">
    <w:nsid w:val="14C63564"/>
    <w:multiLevelType w:val="multilevel"/>
    <w:tmpl w:val="F4948820"/>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4FC31CB"/>
    <w:multiLevelType w:val="multilevel"/>
    <w:tmpl w:val="8AC8BFC2"/>
    <w:lvl w:ilvl="0">
      <w:start w:val="1"/>
      <w:numFmt w:val="bullet"/>
      <w:pStyle w:val="ListBullet"/>
      <w:lvlText w:val=""/>
      <w:lvlJc w:val="left"/>
      <w:pPr>
        <w:ind w:left="-689" w:hanging="283"/>
      </w:pPr>
      <w:rPr>
        <w:rFonts w:ascii="Symbol" w:hAnsi="Symbol" w:hint="default"/>
      </w:rPr>
    </w:lvl>
    <w:lvl w:ilvl="1">
      <w:start w:val="1"/>
      <w:numFmt w:val="bullet"/>
      <w:pStyle w:val="ListBullet2"/>
      <w:lvlText w:val=""/>
      <w:lvlJc w:val="left"/>
      <w:pPr>
        <w:ind w:left="-405" w:hanging="284"/>
      </w:pPr>
      <w:rPr>
        <w:rFonts w:ascii="Symbol" w:hAnsi="Symbol" w:hint="default"/>
      </w:rPr>
    </w:lvl>
    <w:lvl w:ilvl="2">
      <w:start w:val="1"/>
      <w:numFmt w:val="bullet"/>
      <w:pStyle w:val="ListBullet3"/>
      <w:lvlText w:val="○"/>
      <w:lvlJc w:val="left"/>
      <w:pPr>
        <w:ind w:left="-122" w:hanging="283"/>
      </w:pPr>
      <w:rPr>
        <w:rFonts w:ascii="Arial" w:hAnsi="Arial" w:hint="default"/>
        <w:color w:val="auto"/>
      </w:rPr>
    </w:lvl>
    <w:lvl w:ilvl="3">
      <w:start w:val="1"/>
      <w:numFmt w:val="decimal"/>
      <w:lvlText w:val="(%4)"/>
      <w:lvlJc w:val="left"/>
      <w:pPr>
        <w:ind w:left="163" w:hanging="283"/>
      </w:pPr>
      <w:rPr>
        <w:rFonts w:hint="default"/>
      </w:rPr>
    </w:lvl>
    <w:lvl w:ilvl="4">
      <w:start w:val="1"/>
      <w:numFmt w:val="lowerLetter"/>
      <w:lvlText w:val="(%5)"/>
      <w:lvlJc w:val="left"/>
      <w:pPr>
        <w:ind w:left="447" w:hanging="283"/>
      </w:pPr>
      <w:rPr>
        <w:rFonts w:hint="default"/>
      </w:rPr>
    </w:lvl>
    <w:lvl w:ilvl="5">
      <w:start w:val="1"/>
      <w:numFmt w:val="lowerRoman"/>
      <w:lvlText w:val="(%6)"/>
      <w:lvlJc w:val="left"/>
      <w:pPr>
        <w:ind w:left="731" w:hanging="283"/>
      </w:pPr>
      <w:rPr>
        <w:rFonts w:hint="default"/>
      </w:rPr>
    </w:lvl>
    <w:lvl w:ilvl="6">
      <w:start w:val="1"/>
      <w:numFmt w:val="decimal"/>
      <w:lvlText w:val="%7."/>
      <w:lvlJc w:val="left"/>
      <w:pPr>
        <w:ind w:left="1015" w:hanging="283"/>
      </w:pPr>
      <w:rPr>
        <w:rFonts w:hint="default"/>
      </w:rPr>
    </w:lvl>
    <w:lvl w:ilvl="7">
      <w:start w:val="1"/>
      <w:numFmt w:val="lowerLetter"/>
      <w:lvlText w:val="%8."/>
      <w:lvlJc w:val="left"/>
      <w:pPr>
        <w:ind w:left="1299" w:hanging="283"/>
      </w:pPr>
      <w:rPr>
        <w:rFonts w:hint="default"/>
      </w:rPr>
    </w:lvl>
    <w:lvl w:ilvl="8">
      <w:start w:val="1"/>
      <w:numFmt w:val="lowerRoman"/>
      <w:lvlText w:val="%9."/>
      <w:lvlJc w:val="left"/>
      <w:pPr>
        <w:ind w:left="1583" w:hanging="283"/>
      </w:pPr>
      <w:rPr>
        <w:rFonts w:hint="default"/>
      </w:rPr>
    </w:lvl>
  </w:abstractNum>
  <w:abstractNum w:abstractNumId="9" w15:restartNumberingAfterBreak="0">
    <w:nsid w:val="16BA1177"/>
    <w:multiLevelType w:val="multilevel"/>
    <w:tmpl w:val="36329916"/>
    <w:lvl w:ilvl="0">
      <w:start w:val="1"/>
      <w:numFmt w:val="decimal"/>
      <w:pStyle w:val="ListNumber"/>
      <w:lvlText w:val="%1."/>
      <w:lvlJc w:val="left"/>
      <w:pPr>
        <w:ind w:left="425" w:hanging="283"/>
      </w:pPr>
      <w:rPr>
        <w:rFonts w:hint="default"/>
      </w:rPr>
    </w:lvl>
    <w:lvl w:ilvl="1">
      <w:start w:val="1"/>
      <w:numFmt w:val="decimal"/>
      <w:pStyle w:val="ListNumber2"/>
      <w:lvlText w:val="%2."/>
      <w:lvlJc w:val="left"/>
      <w:pPr>
        <w:ind w:left="709" w:hanging="284"/>
      </w:pPr>
      <w:rPr>
        <w:rFonts w:hint="default"/>
      </w:rPr>
    </w:lvl>
    <w:lvl w:ilvl="2">
      <w:start w:val="1"/>
      <w:numFmt w:val="decimal"/>
      <w:pStyle w:val="ListNumber3"/>
      <w:lvlText w:val="%3."/>
      <w:lvlJc w:val="left"/>
      <w:pPr>
        <w:ind w:left="992"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C284EBC"/>
    <w:multiLevelType w:val="multilevel"/>
    <w:tmpl w:val="933CDC98"/>
    <w:lvl w:ilvl="0">
      <w:start w:val="1"/>
      <w:numFmt w:val="lowerLetter"/>
      <w:pStyle w:val="ListLetter"/>
      <w:lvlText w:val="%1)"/>
      <w:lvlJc w:val="left"/>
      <w:pPr>
        <w:ind w:left="991" w:hanging="283"/>
      </w:pPr>
      <w:rPr>
        <w:rFonts w:hint="default"/>
      </w:rPr>
    </w:lvl>
    <w:lvl w:ilvl="1">
      <w:start w:val="1"/>
      <w:numFmt w:val="lowerLetter"/>
      <w:pStyle w:val="ListLetter2"/>
      <w:lvlText w:val="%2."/>
      <w:lvlJc w:val="left"/>
      <w:pPr>
        <w:ind w:left="1275" w:hanging="284"/>
      </w:pPr>
      <w:rPr>
        <w:rFonts w:hint="default"/>
      </w:rPr>
    </w:lvl>
    <w:lvl w:ilvl="2">
      <w:start w:val="1"/>
      <w:numFmt w:val="lowerLetter"/>
      <w:pStyle w:val="ListLetter3"/>
      <w:lvlText w:val="%3,"/>
      <w:lvlJc w:val="left"/>
      <w:pPr>
        <w:ind w:left="1558" w:hanging="283"/>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11" w15:restartNumberingAfterBreak="0">
    <w:nsid w:val="1D2253F0"/>
    <w:multiLevelType w:val="multilevel"/>
    <w:tmpl w:val="6FDCDF7E"/>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3F66B3"/>
    <w:multiLevelType w:val="hybridMultilevel"/>
    <w:tmpl w:val="5268F8E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15:restartNumberingAfterBreak="0">
    <w:nsid w:val="357B629F"/>
    <w:multiLevelType w:val="multilevel"/>
    <w:tmpl w:val="3DECE9F8"/>
    <w:lvl w:ilvl="0">
      <w:start w:val="1"/>
      <w:numFmt w:val="decimal"/>
      <w:pStyle w:val="CaptionTable"/>
      <w:lvlText w:val="Tabl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7DE72E7"/>
    <w:multiLevelType w:val="hybridMultilevel"/>
    <w:tmpl w:val="96C6A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5A5314"/>
    <w:multiLevelType w:val="multilevel"/>
    <w:tmpl w:val="04DA89EC"/>
    <w:styleLink w:val="HeadingList"/>
    <w:lvl w:ilvl="0">
      <w:start w:val="1"/>
      <w:numFmt w:val="decimal"/>
      <w:suff w:val="space"/>
      <w:lvlText w:val="Chapter %1 -"/>
      <w:lvlJc w:val="left"/>
      <w:pPr>
        <w:ind w:left="0" w:firstLine="0"/>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16" w15:restartNumberingAfterBreak="0">
    <w:nsid w:val="4ADD4327"/>
    <w:multiLevelType w:val="hybridMultilevel"/>
    <w:tmpl w:val="8B64FA8C"/>
    <w:lvl w:ilvl="0" w:tplc="4C08291A">
      <w:start w:val="1"/>
      <w:numFmt w:val="upperLetter"/>
      <w:pStyle w:val="AdditionalHeading1"/>
      <w:lvlText w:val="3%1."/>
      <w:lvlJc w:val="left"/>
      <w:pPr>
        <w:ind w:left="360" w:hanging="360"/>
      </w:pPr>
      <w:rPr>
        <w:rFonts w:hint="default"/>
      </w:rPr>
    </w:lvl>
    <w:lvl w:ilvl="1" w:tplc="9376B724">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E600E74"/>
    <w:multiLevelType w:val="multilevel"/>
    <w:tmpl w:val="622E15AA"/>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8" w15:restartNumberingAfterBreak="0">
    <w:nsid w:val="57C4451E"/>
    <w:multiLevelType w:val="hybridMultilevel"/>
    <w:tmpl w:val="89D4EC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AB96BFA"/>
    <w:multiLevelType w:val="multilevel"/>
    <w:tmpl w:val="3B0CC926"/>
    <w:lvl w:ilvl="0">
      <w:start w:val="1"/>
      <w:numFmt w:val="none"/>
      <w:pStyle w:val="ResetPara"/>
      <w:lvlText w:val=""/>
      <w:lvlJc w:val="left"/>
      <w:pPr>
        <w:ind w:left="0" w:firstLine="0"/>
      </w:pPr>
      <w:rPr>
        <w:rFonts w:hint="default"/>
      </w:rPr>
    </w:lvl>
    <w:lvl w:ilvl="1">
      <w:start w:val="1"/>
      <w:numFmt w:val="lowerLetter"/>
      <w:pStyle w:val="Lista"/>
      <w:lvlText w:val="(%2)"/>
      <w:lvlJc w:val="left"/>
      <w:pPr>
        <w:tabs>
          <w:tab w:val="num" w:pos="1276"/>
        </w:tabs>
        <w:ind w:left="1276" w:hanging="567"/>
      </w:pPr>
      <w:rPr>
        <w:rFonts w:hint="default"/>
      </w:rPr>
    </w:lvl>
    <w:lvl w:ilvl="2">
      <w:start w:val="1"/>
      <w:numFmt w:val="lowerRoman"/>
      <w:pStyle w:val="Listi"/>
      <w:lvlText w:val="(%3)"/>
      <w:lvlJc w:val="left"/>
      <w:pPr>
        <w:tabs>
          <w:tab w:val="num" w:pos="1843"/>
        </w:tabs>
        <w:ind w:left="1843" w:hanging="567"/>
      </w:pPr>
      <w:rPr>
        <w:rFonts w:hint="default"/>
      </w:rPr>
    </w:lvl>
    <w:lvl w:ilvl="3">
      <w:start w:val="1"/>
      <w:numFmt w:val="upperLetter"/>
      <w:pStyle w:val="ListA0"/>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C906D8F"/>
    <w:multiLevelType w:val="hybridMultilevel"/>
    <w:tmpl w:val="A42EFE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6"/>
  </w:num>
  <w:num w:numId="4">
    <w:abstractNumId w:val="13"/>
  </w:num>
  <w:num w:numId="5">
    <w:abstractNumId w:val="11"/>
  </w:num>
  <w:num w:numId="6">
    <w:abstractNumId w:val="7"/>
  </w:num>
  <w:num w:numId="7">
    <w:abstractNumId w:val="15"/>
  </w:num>
  <w:num w:numId="8">
    <w:abstractNumId w:val="8"/>
  </w:num>
  <w:num w:numId="9">
    <w:abstractNumId w:val="10"/>
  </w:num>
  <w:num w:numId="10">
    <w:abstractNumId w:val="9"/>
  </w:num>
  <w:num w:numId="11">
    <w:abstractNumId w:val="19"/>
  </w:num>
  <w:num w:numId="12">
    <w:abstractNumId w:val="0"/>
  </w:num>
  <w:num w:numId="13">
    <w:abstractNumId w:val="17"/>
  </w:num>
  <w:num w:numId="14">
    <w:abstractNumId w:val="1"/>
  </w:num>
  <w:num w:numId="15">
    <w:abstractNumId w:val="3"/>
  </w:num>
  <w:num w:numId="16">
    <w:abstractNumId w:val="16"/>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4"/>
  </w:num>
  <w:num w:numId="24">
    <w:abstractNumId w:val="8"/>
  </w:num>
  <w:num w:numId="25">
    <w:abstractNumId w:val="19"/>
  </w:num>
  <w:num w:numId="26">
    <w:abstractNumId w:val="19"/>
    <w:lvlOverride w:ilvl="0">
      <w:startOverride w:val="9"/>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9"/>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4"/>
  </w:num>
  <w:num w:numId="35">
    <w:abstractNumId w:val="20"/>
  </w:num>
  <w:num w:numId="36">
    <w:abstractNumId w:val="1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ger Shaw">
    <w15:presenceInfo w15:providerId="AD" w15:userId="S::Roger.Shaw@aemo.com.au::505340e8-5e5f-429a-bd75-05dd867152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DateAndTime/>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57"/>
  <w:drawingGridVerticalSpacing w:val="5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56"/>
    <w:rsid w:val="0000128B"/>
    <w:rsid w:val="00001FC8"/>
    <w:rsid w:val="000035A7"/>
    <w:rsid w:val="000035F0"/>
    <w:rsid w:val="00003826"/>
    <w:rsid w:val="00003D46"/>
    <w:rsid w:val="00004113"/>
    <w:rsid w:val="00004490"/>
    <w:rsid w:val="000045B5"/>
    <w:rsid w:val="00004FD6"/>
    <w:rsid w:val="00007FBC"/>
    <w:rsid w:val="00010663"/>
    <w:rsid w:val="0001087C"/>
    <w:rsid w:val="00010B32"/>
    <w:rsid w:val="00010ECE"/>
    <w:rsid w:val="00011301"/>
    <w:rsid w:val="000117B7"/>
    <w:rsid w:val="00012998"/>
    <w:rsid w:val="00012EC9"/>
    <w:rsid w:val="00013BD4"/>
    <w:rsid w:val="00013E92"/>
    <w:rsid w:val="00015255"/>
    <w:rsid w:val="00016306"/>
    <w:rsid w:val="000201B5"/>
    <w:rsid w:val="00021168"/>
    <w:rsid w:val="000219FB"/>
    <w:rsid w:val="00022211"/>
    <w:rsid w:val="0002228E"/>
    <w:rsid w:val="000225A5"/>
    <w:rsid w:val="00022B1E"/>
    <w:rsid w:val="00023171"/>
    <w:rsid w:val="00023859"/>
    <w:rsid w:val="000238C8"/>
    <w:rsid w:val="00023AD5"/>
    <w:rsid w:val="00024EEA"/>
    <w:rsid w:val="00026070"/>
    <w:rsid w:val="000260AE"/>
    <w:rsid w:val="0002676D"/>
    <w:rsid w:val="00027890"/>
    <w:rsid w:val="00027BFA"/>
    <w:rsid w:val="0003016B"/>
    <w:rsid w:val="00030781"/>
    <w:rsid w:val="000309C1"/>
    <w:rsid w:val="00030B52"/>
    <w:rsid w:val="00031086"/>
    <w:rsid w:val="00031E27"/>
    <w:rsid w:val="00032869"/>
    <w:rsid w:val="00033E75"/>
    <w:rsid w:val="00035830"/>
    <w:rsid w:val="00037013"/>
    <w:rsid w:val="00040BB1"/>
    <w:rsid w:val="00041117"/>
    <w:rsid w:val="000412AF"/>
    <w:rsid w:val="000415A8"/>
    <w:rsid w:val="00041CDB"/>
    <w:rsid w:val="00042496"/>
    <w:rsid w:val="00042971"/>
    <w:rsid w:val="00043AB3"/>
    <w:rsid w:val="00043BBE"/>
    <w:rsid w:val="000470AB"/>
    <w:rsid w:val="00047668"/>
    <w:rsid w:val="00047674"/>
    <w:rsid w:val="00047774"/>
    <w:rsid w:val="0005014B"/>
    <w:rsid w:val="000540C6"/>
    <w:rsid w:val="00054889"/>
    <w:rsid w:val="00057037"/>
    <w:rsid w:val="0005708C"/>
    <w:rsid w:val="000574E2"/>
    <w:rsid w:val="0005752A"/>
    <w:rsid w:val="00060097"/>
    <w:rsid w:val="00060B73"/>
    <w:rsid w:val="0006162C"/>
    <w:rsid w:val="0006173B"/>
    <w:rsid w:val="0006225D"/>
    <w:rsid w:val="00063007"/>
    <w:rsid w:val="000636A5"/>
    <w:rsid w:val="00063938"/>
    <w:rsid w:val="0006404A"/>
    <w:rsid w:val="000640BD"/>
    <w:rsid w:val="0006431A"/>
    <w:rsid w:val="0006493F"/>
    <w:rsid w:val="00064FDF"/>
    <w:rsid w:val="00065ACF"/>
    <w:rsid w:val="000715BC"/>
    <w:rsid w:val="0007224C"/>
    <w:rsid w:val="00072B0B"/>
    <w:rsid w:val="00072B73"/>
    <w:rsid w:val="000731EC"/>
    <w:rsid w:val="00073694"/>
    <w:rsid w:val="0007446F"/>
    <w:rsid w:val="000750B8"/>
    <w:rsid w:val="000752CE"/>
    <w:rsid w:val="00075378"/>
    <w:rsid w:val="00076BC0"/>
    <w:rsid w:val="00076CCC"/>
    <w:rsid w:val="00080A56"/>
    <w:rsid w:val="0008133E"/>
    <w:rsid w:val="0008171B"/>
    <w:rsid w:val="00082342"/>
    <w:rsid w:val="000823B4"/>
    <w:rsid w:val="00082422"/>
    <w:rsid w:val="00082507"/>
    <w:rsid w:val="0008288D"/>
    <w:rsid w:val="00082C40"/>
    <w:rsid w:val="000831EF"/>
    <w:rsid w:val="0008331F"/>
    <w:rsid w:val="00083532"/>
    <w:rsid w:val="00083582"/>
    <w:rsid w:val="000838DA"/>
    <w:rsid w:val="000839EB"/>
    <w:rsid w:val="00083B9D"/>
    <w:rsid w:val="000846F8"/>
    <w:rsid w:val="000848D2"/>
    <w:rsid w:val="00084D48"/>
    <w:rsid w:val="00084F8F"/>
    <w:rsid w:val="00085B3B"/>
    <w:rsid w:val="00085BAA"/>
    <w:rsid w:val="00086C68"/>
    <w:rsid w:val="00086F8A"/>
    <w:rsid w:val="00090AF7"/>
    <w:rsid w:val="000916E2"/>
    <w:rsid w:val="00091769"/>
    <w:rsid w:val="00091866"/>
    <w:rsid w:val="0009272D"/>
    <w:rsid w:val="00093650"/>
    <w:rsid w:val="00094297"/>
    <w:rsid w:val="00094619"/>
    <w:rsid w:val="000949A1"/>
    <w:rsid w:val="00094A3F"/>
    <w:rsid w:val="000954C4"/>
    <w:rsid w:val="00095704"/>
    <w:rsid w:val="0009703A"/>
    <w:rsid w:val="0009763F"/>
    <w:rsid w:val="000A0042"/>
    <w:rsid w:val="000A0DD2"/>
    <w:rsid w:val="000A1546"/>
    <w:rsid w:val="000A2A1E"/>
    <w:rsid w:val="000A2FA7"/>
    <w:rsid w:val="000A316F"/>
    <w:rsid w:val="000A3283"/>
    <w:rsid w:val="000A33F3"/>
    <w:rsid w:val="000A3492"/>
    <w:rsid w:val="000A3D72"/>
    <w:rsid w:val="000A4163"/>
    <w:rsid w:val="000A4F87"/>
    <w:rsid w:val="000A5F60"/>
    <w:rsid w:val="000A639D"/>
    <w:rsid w:val="000A7776"/>
    <w:rsid w:val="000B00DC"/>
    <w:rsid w:val="000B1234"/>
    <w:rsid w:val="000B1B95"/>
    <w:rsid w:val="000B1D69"/>
    <w:rsid w:val="000B1DFB"/>
    <w:rsid w:val="000B228A"/>
    <w:rsid w:val="000B2D80"/>
    <w:rsid w:val="000B3C71"/>
    <w:rsid w:val="000B6507"/>
    <w:rsid w:val="000B748B"/>
    <w:rsid w:val="000B7ED8"/>
    <w:rsid w:val="000C0FB8"/>
    <w:rsid w:val="000C0FBA"/>
    <w:rsid w:val="000C15D9"/>
    <w:rsid w:val="000C18CD"/>
    <w:rsid w:val="000C18D9"/>
    <w:rsid w:val="000C2905"/>
    <w:rsid w:val="000C2CFB"/>
    <w:rsid w:val="000C3EC1"/>
    <w:rsid w:val="000C432C"/>
    <w:rsid w:val="000C5333"/>
    <w:rsid w:val="000C6060"/>
    <w:rsid w:val="000C657F"/>
    <w:rsid w:val="000D0035"/>
    <w:rsid w:val="000D06B0"/>
    <w:rsid w:val="000D07F9"/>
    <w:rsid w:val="000D2584"/>
    <w:rsid w:val="000D348D"/>
    <w:rsid w:val="000D4307"/>
    <w:rsid w:val="000D5283"/>
    <w:rsid w:val="000D57FB"/>
    <w:rsid w:val="000D5AF8"/>
    <w:rsid w:val="000D62E3"/>
    <w:rsid w:val="000D6DA9"/>
    <w:rsid w:val="000E01A1"/>
    <w:rsid w:val="000E01EE"/>
    <w:rsid w:val="000E0617"/>
    <w:rsid w:val="000E15AD"/>
    <w:rsid w:val="000E21E8"/>
    <w:rsid w:val="000E255F"/>
    <w:rsid w:val="000E2E61"/>
    <w:rsid w:val="000E3C40"/>
    <w:rsid w:val="000E3E85"/>
    <w:rsid w:val="000E4BD3"/>
    <w:rsid w:val="000E4F2C"/>
    <w:rsid w:val="000E7D1A"/>
    <w:rsid w:val="000F003E"/>
    <w:rsid w:val="000F03C7"/>
    <w:rsid w:val="000F10BE"/>
    <w:rsid w:val="000F1B29"/>
    <w:rsid w:val="000F1D2A"/>
    <w:rsid w:val="000F2814"/>
    <w:rsid w:val="000F2B36"/>
    <w:rsid w:val="000F338E"/>
    <w:rsid w:val="000F40BF"/>
    <w:rsid w:val="000F4818"/>
    <w:rsid w:val="000F4895"/>
    <w:rsid w:val="000F4E8B"/>
    <w:rsid w:val="000F6167"/>
    <w:rsid w:val="000F70C5"/>
    <w:rsid w:val="000F77E9"/>
    <w:rsid w:val="0010056B"/>
    <w:rsid w:val="001005DC"/>
    <w:rsid w:val="00100E42"/>
    <w:rsid w:val="00100E61"/>
    <w:rsid w:val="00101F7F"/>
    <w:rsid w:val="001022EA"/>
    <w:rsid w:val="001027ED"/>
    <w:rsid w:val="00102F73"/>
    <w:rsid w:val="00103862"/>
    <w:rsid w:val="00104364"/>
    <w:rsid w:val="0010487D"/>
    <w:rsid w:val="00104D7C"/>
    <w:rsid w:val="00105904"/>
    <w:rsid w:val="001072E1"/>
    <w:rsid w:val="001104CD"/>
    <w:rsid w:val="0011075E"/>
    <w:rsid w:val="001111C4"/>
    <w:rsid w:val="00111293"/>
    <w:rsid w:val="0011192C"/>
    <w:rsid w:val="001120C6"/>
    <w:rsid w:val="001137A6"/>
    <w:rsid w:val="00113846"/>
    <w:rsid w:val="00113BC1"/>
    <w:rsid w:val="00115D23"/>
    <w:rsid w:val="00116B2D"/>
    <w:rsid w:val="00116BC7"/>
    <w:rsid w:val="0012035A"/>
    <w:rsid w:val="001203BB"/>
    <w:rsid w:val="0012315B"/>
    <w:rsid w:val="00123E81"/>
    <w:rsid w:val="00123F98"/>
    <w:rsid w:val="00124061"/>
    <w:rsid w:val="001240AC"/>
    <w:rsid w:val="0012441F"/>
    <w:rsid w:val="00124944"/>
    <w:rsid w:val="00125264"/>
    <w:rsid w:val="00125853"/>
    <w:rsid w:val="00126592"/>
    <w:rsid w:val="00126D44"/>
    <w:rsid w:val="001278D8"/>
    <w:rsid w:val="00130733"/>
    <w:rsid w:val="00130D1A"/>
    <w:rsid w:val="00131121"/>
    <w:rsid w:val="001327B9"/>
    <w:rsid w:val="001335D8"/>
    <w:rsid w:val="00133C9F"/>
    <w:rsid w:val="0013509A"/>
    <w:rsid w:val="0013556B"/>
    <w:rsid w:val="00135A48"/>
    <w:rsid w:val="00135DE6"/>
    <w:rsid w:val="001363EE"/>
    <w:rsid w:val="001368E5"/>
    <w:rsid w:val="00136F6C"/>
    <w:rsid w:val="001372E6"/>
    <w:rsid w:val="001379CE"/>
    <w:rsid w:val="00137B19"/>
    <w:rsid w:val="00137BF3"/>
    <w:rsid w:val="00137D70"/>
    <w:rsid w:val="001404A7"/>
    <w:rsid w:val="0014086C"/>
    <w:rsid w:val="00141F40"/>
    <w:rsid w:val="00141F60"/>
    <w:rsid w:val="001424AB"/>
    <w:rsid w:val="0014331C"/>
    <w:rsid w:val="00143EED"/>
    <w:rsid w:val="00143F3F"/>
    <w:rsid w:val="0014436E"/>
    <w:rsid w:val="00144DFC"/>
    <w:rsid w:val="00145D9A"/>
    <w:rsid w:val="001469B0"/>
    <w:rsid w:val="0014702E"/>
    <w:rsid w:val="00150143"/>
    <w:rsid w:val="00150406"/>
    <w:rsid w:val="00153317"/>
    <w:rsid w:val="001538C7"/>
    <w:rsid w:val="00154847"/>
    <w:rsid w:val="00154C8F"/>
    <w:rsid w:val="00155956"/>
    <w:rsid w:val="00155CCD"/>
    <w:rsid w:val="001567DF"/>
    <w:rsid w:val="001573BB"/>
    <w:rsid w:val="001619A9"/>
    <w:rsid w:val="00161F39"/>
    <w:rsid w:val="001625A8"/>
    <w:rsid w:val="0016304B"/>
    <w:rsid w:val="0016527C"/>
    <w:rsid w:val="001667F1"/>
    <w:rsid w:val="001669E0"/>
    <w:rsid w:val="00167EC7"/>
    <w:rsid w:val="00170C7F"/>
    <w:rsid w:val="00171161"/>
    <w:rsid w:val="001712CD"/>
    <w:rsid w:val="001727F7"/>
    <w:rsid w:val="00172FF3"/>
    <w:rsid w:val="00173D54"/>
    <w:rsid w:val="001744F6"/>
    <w:rsid w:val="00174771"/>
    <w:rsid w:val="0017478F"/>
    <w:rsid w:val="00174C50"/>
    <w:rsid w:val="0017566E"/>
    <w:rsid w:val="00175931"/>
    <w:rsid w:val="00175AED"/>
    <w:rsid w:val="00177028"/>
    <w:rsid w:val="001770B5"/>
    <w:rsid w:val="00177666"/>
    <w:rsid w:val="00177883"/>
    <w:rsid w:val="00177B1A"/>
    <w:rsid w:val="00177FEF"/>
    <w:rsid w:val="00180817"/>
    <w:rsid w:val="00180F5A"/>
    <w:rsid w:val="00181A00"/>
    <w:rsid w:val="00182046"/>
    <w:rsid w:val="00182F62"/>
    <w:rsid w:val="001839E3"/>
    <w:rsid w:val="00183AF2"/>
    <w:rsid w:val="00183F7C"/>
    <w:rsid w:val="00184A7A"/>
    <w:rsid w:val="00184FF2"/>
    <w:rsid w:val="0018517F"/>
    <w:rsid w:val="001857E4"/>
    <w:rsid w:val="00185897"/>
    <w:rsid w:val="0018603B"/>
    <w:rsid w:val="001866A4"/>
    <w:rsid w:val="0019250F"/>
    <w:rsid w:val="001926E6"/>
    <w:rsid w:val="00192DF4"/>
    <w:rsid w:val="00193185"/>
    <w:rsid w:val="0019351C"/>
    <w:rsid w:val="001938D3"/>
    <w:rsid w:val="00194155"/>
    <w:rsid w:val="00195A2E"/>
    <w:rsid w:val="00195A76"/>
    <w:rsid w:val="001960C3"/>
    <w:rsid w:val="00196E09"/>
    <w:rsid w:val="00197129"/>
    <w:rsid w:val="00197270"/>
    <w:rsid w:val="00197758"/>
    <w:rsid w:val="001A0EED"/>
    <w:rsid w:val="001A1057"/>
    <w:rsid w:val="001A1597"/>
    <w:rsid w:val="001A2428"/>
    <w:rsid w:val="001A34EA"/>
    <w:rsid w:val="001A3877"/>
    <w:rsid w:val="001A4016"/>
    <w:rsid w:val="001A4314"/>
    <w:rsid w:val="001A6D37"/>
    <w:rsid w:val="001A7D5B"/>
    <w:rsid w:val="001A7F84"/>
    <w:rsid w:val="001A7FD7"/>
    <w:rsid w:val="001B011A"/>
    <w:rsid w:val="001B0467"/>
    <w:rsid w:val="001B1242"/>
    <w:rsid w:val="001B131E"/>
    <w:rsid w:val="001B1E37"/>
    <w:rsid w:val="001B1E5F"/>
    <w:rsid w:val="001B28B2"/>
    <w:rsid w:val="001B3231"/>
    <w:rsid w:val="001B49A2"/>
    <w:rsid w:val="001B4AF4"/>
    <w:rsid w:val="001B5EB4"/>
    <w:rsid w:val="001B6B21"/>
    <w:rsid w:val="001B709B"/>
    <w:rsid w:val="001B79F6"/>
    <w:rsid w:val="001B7CE7"/>
    <w:rsid w:val="001C0449"/>
    <w:rsid w:val="001C10A2"/>
    <w:rsid w:val="001C12D8"/>
    <w:rsid w:val="001C1F8D"/>
    <w:rsid w:val="001C249C"/>
    <w:rsid w:val="001C3140"/>
    <w:rsid w:val="001C347A"/>
    <w:rsid w:val="001C3961"/>
    <w:rsid w:val="001C4585"/>
    <w:rsid w:val="001C6207"/>
    <w:rsid w:val="001C79FA"/>
    <w:rsid w:val="001D04D2"/>
    <w:rsid w:val="001D11A4"/>
    <w:rsid w:val="001D1759"/>
    <w:rsid w:val="001D1A9F"/>
    <w:rsid w:val="001D20EA"/>
    <w:rsid w:val="001D2287"/>
    <w:rsid w:val="001D40C9"/>
    <w:rsid w:val="001D41B0"/>
    <w:rsid w:val="001D5BD7"/>
    <w:rsid w:val="001D5D31"/>
    <w:rsid w:val="001D6746"/>
    <w:rsid w:val="001D732D"/>
    <w:rsid w:val="001D7CBB"/>
    <w:rsid w:val="001E02A3"/>
    <w:rsid w:val="001E05FF"/>
    <w:rsid w:val="001E0AF0"/>
    <w:rsid w:val="001E21C9"/>
    <w:rsid w:val="001E2347"/>
    <w:rsid w:val="001E3600"/>
    <w:rsid w:val="001E39D9"/>
    <w:rsid w:val="001E48C4"/>
    <w:rsid w:val="001E4B71"/>
    <w:rsid w:val="001E5917"/>
    <w:rsid w:val="001E59BC"/>
    <w:rsid w:val="001F0280"/>
    <w:rsid w:val="001F097E"/>
    <w:rsid w:val="001F0E9E"/>
    <w:rsid w:val="001F1400"/>
    <w:rsid w:val="001F1BCE"/>
    <w:rsid w:val="001F1DB3"/>
    <w:rsid w:val="001F2DBB"/>
    <w:rsid w:val="001F3CD5"/>
    <w:rsid w:val="001F41E2"/>
    <w:rsid w:val="001F48AC"/>
    <w:rsid w:val="001F4B0C"/>
    <w:rsid w:val="001F4B30"/>
    <w:rsid w:val="001F57E2"/>
    <w:rsid w:val="001F62E7"/>
    <w:rsid w:val="001F6F72"/>
    <w:rsid w:val="001F7117"/>
    <w:rsid w:val="001F785D"/>
    <w:rsid w:val="001F7927"/>
    <w:rsid w:val="00200FCC"/>
    <w:rsid w:val="00202B62"/>
    <w:rsid w:val="00202DA3"/>
    <w:rsid w:val="002034F1"/>
    <w:rsid w:val="00203585"/>
    <w:rsid w:val="00203875"/>
    <w:rsid w:val="00203B98"/>
    <w:rsid w:val="0020491B"/>
    <w:rsid w:val="002055C5"/>
    <w:rsid w:val="0020669A"/>
    <w:rsid w:val="00207613"/>
    <w:rsid w:val="00207DA3"/>
    <w:rsid w:val="002103B1"/>
    <w:rsid w:val="002107A2"/>
    <w:rsid w:val="0021082B"/>
    <w:rsid w:val="002108AA"/>
    <w:rsid w:val="00210E2C"/>
    <w:rsid w:val="0021249F"/>
    <w:rsid w:val="0021266C"/>
    <w:rsid w:val="00212F09"/>
    <w:rsid w:val="00213CD2"/>
    <w:rsid w:val="00214208"/>
    <w:rsid w:val="00215674"/>
    <w:rsid w:val="00215A92"/>
    <w:rsid w:val="00216A1F"/>
    <w:rsid w:val="00216C36"/>
    <w:rsid w:val="00216F10"/>
    <w:rsid w:val="00220A83"/>
    <w:rsid w:val="00222057"/>
    <w:rsid w:val="002229FB"/>
    <w:rsid w:val="00222C1A"/>
    <w:rsid w:val="002231BA"/>
    <w:rsid w:val="00223672"/>
    <w:rsid w:val="00223747"/>
    <w:rsid w:val="00223A60"/>
    <w:rsid w:val="00223B78"/>
    <w:rsid w:val="00223D3F"/>
    <w:rsid w:val="00224601"/>
    <w:rsid w:val="0022529A"/>
    <w:rsid w:val="00225DDD"/>
    <w:rsid w:val="00226935"/>
    <w:rsid w:val="00230692"/>
    <w:rsid w:val="00230820"/>
    <w:rsid w:val="00230EA2"/>
    <w:rsid w:val="00231B0C"/>
    <w:rsid w:val="002349F6"/>
    <w:rsid w:val="0023557D"/>
    <w:rsid w:val="0023566E"/>
    <w:rsid w:val="00235B49"/>
    <w:rsid w:val="002377ED"/>
    <w:rsid w:val="00237B50"/>
    <w:rsid w:val="00237F35"/>
    <w:rsid w:val="00240C66"/>
    <w:rsid w:val="00241733"/>
    <w:rsid w:val="00241A00"/>
    <w:rsid w:val="0024216B"/>
    <w:rsid w:val="0024298C"/>
    <w:rsid w:val="0024371C"/>
    <w:rsid w:val="00245DB5"/>
    <w:rsid w:val="00246A52"/>
    <w:rsid w:val="00246A95"/>
    <w:rsid w:val="00247488"/>
    <w:rsid w:val="00247A8C"/>
    <w:rsid w:val="00250CB0"/>
    <w:rsid w:val="002511AD"/>
    <w:rsid w:val="00251B43"/>
    <w:rsid w:val="0025206C"/>
    <w:rsid w:val="00252078"/>
    <w:rsid w:val="002522E0"/>
    <w:rsid w:val="00252983"/>
    <w:rsid w:val="002539C5"/>
    <w:rsid w:val="00255955"/>
    <w:rsid w:val="002563B0"/>
    <w:rsid w:val="00256CF9"/>
    <w:rsid w:val="0025774C"/>
    <w:rsid w:val="002601A4"/>
    <w:rsid w:val="00260743"/>
    <w:rsid w:val="0026081A"/>
    <w:rsid w:val="0026117F"/>
    <w:rsid w:val="002612D3"/>
    <w:rsid w:val="002616A4"/>
    <w:rsid w:val="002619E1"/>
    <w:rsid w:val="00261D15"/>
    <w:rsid w:val="00263881"/>
    <w:rsid w:val="002648ED"/>
    <w:rsid w:val="00264EB9"/>
    <w:rsid w:val="00264F46"/>
    <w:rsid w:val="0026521F"/>
    <w:rsid w:val="00266309"/>
    <w:rsid w:val="00267A73"/>
    <w:rsid w:val="00267C19"/>
    <w:rsid w:val="00270375"/>
    <w:rsid w:val="0027190D"/>
    <w:rsid w:val="00271CD7"/>
    <w:rsid w:val="002729CC"/>
    <w:rsid w:val="00272AE2"/>
    <w:rsid w:val="00273469"/>
    <w:rsid w:val="002737E0"/>
    <w:rsid w:val="0027725A"/>
    <w:rsid w:val="0027739D"/>
    <w:rsid w:val="002778B5"/>
    <w:rsid w:val="00280060"/>
    <w:rsid w:val="00281076"/>
    <w:rsid w:val="0028197F"/>
    <w:rsid w:val="0028199D"/>
    <w:rsid w:val="00282325"/>
    <w:rsid w:val="00282B17"/>
    <w:rsid w:val="00282E21"/>
    <w:rsid w:val="002831F8"/>
    <w:rsid w:val="00285868"/>
    <w:rsid w:val="00285C24"/>
    <w:rsid w:val="00286189"/>
    <w:rsid w:val="002865BC"/>
    <w:rsid w:val="0028681D"/>
    <w:rsid w:val="00286B9C"/>
    <w:rsid w:val="00286D64"/>
    <w:rsid w:val="00287212"/>
    <w:rsid w:val="002873BD"/>
    <w:rsid w:val="00291684"/>
    <w:rsid w:val="00294763"/>
    <w:rsid w:val="00294EA4"/>
    <w:rsid w:val="00295426"/>
    <w:rsid w:val="00295D9C"/>
    <w:rsid w:val="00295F08"/>
    <w:rsid w:val="00297322"/>
    <w:rsid w:val="00297F70"/>
    <w:rsid w:val="002A08DF"/>
    <w:rsid w:val="002A1D3A"/>
    <w:rsid w:val="002A25D8"/>
    <w:rsid w:val="002A317F"/>
    <w:rsid w:val="002A3318"/>
    <w:rsid w:val="002A4E8D"/>
    <w:rsid w:val="002A6F5B"/>
    <w:rsid w:val="002A7BEA"/>
    <w:rsid w:val="002B1449"/>
    <w:rsid w:val="002B16C4"/>
    <w:rsid w:val="002B1BD9"/>
    <w:rsid w:val="002B21A3"/>
    <w:rsid w:val="002B2B46"/>
    <w:rsid w:val="002B2BC3"/>
    <w:rsid w:val="002B2CD4"/>
    <w:rsid w:val="002B42FF"/>
    <w:rsid w:val="002B4878"/>
    <w:rsid w:val="002B4DAE"/>
    <w:rsid w:val="002B4F27"/>
    <w:rsid w:val="002B5252"/>
    <w:rsid w:val="002B5A03"/>
    <w:rsid w:val="002B5C63"/>
    <w:rsid w:val="002B62A8"/>
    <w:rsid w:val="002B713B"/>
    <w:rsid w:val="002B7E6B"/>
    <w:rsid w:val="002B7F77"/>
    <w:rsid w:val="002C013D"/>
    <w:rsid w:val="002C0879"/>
    <w:rsid w:val="002C1063"/>
    <w:rsid w:val="002C153F"/>
    <w:rsid w:val="002C1BD2"/>
    <w:rsid w:val="002C1C6C"/>
    <w:rsid w:val="002C1DE8"/>
    <w:rsid w:val="002C1F82"/>
    <w:rsid w:val="002C2876"/>
    <w:rsid w:val="002C4239"/>
    <w:rsid w:val="002C435A"/>
    <w:rsid w:val="002C4AEB"/>
    <w:rsid w:val="002C586C"/>
    <w:rsid w:val="002C64AB"/>
    <w:rsid w:val="002D0274"/>
    <w:rsid w:val="002D07E2"/>
    <w:rsid w:val="002D19F3"/>
    <w:rsid w:val="002D303B"/>
    <w:rsid w:val="002D499F"/>
    <w:rsid w:val="002D58F7"/>
    <w:rsid w:val="002D5F26"/>
    <w:rsid w:val="002E001B"/>
    <w:rsid w:val="002E0668"/>
    <w:rsid w:val="002E0D05"/>
    <w:rsid w:val="002E13D8"/>
    <w:rsid w:val="002E1505"/>
    <w:rsid w:val="002E1816"/>
    <w:rsid w:val="002E1AD3"/>
    <w:rsid w:val="002E3E99"/>
    <w:rsid w:val="002E5CC8"/>
    <w:rsid w:val="002E60C7"/>
    <w:rsid w:val="002E6806"/>
    <w:rsid w:val="002E7C37"/>
    <w:rsid w:val="002E7C4F"/>
    <w:rsid w:val="002F007B"/>
    <w:rsid w:val="002F1A56"/>
    <w:rsid w:val="002F1C57"/>
    <w:rsid w:val="002F1F3D"/>
    <w:rsid w:val="002F24F8"/>
    <w:rsid w:val="002F2C2D"/>
    <w:rsid w:val="002F33EF"/>
    <w:rsid w:val="002F3D11"/>
    <w:rsid w:val="002F4590"/>
    <w:rsid w:val="002F4D39"/>
    <w:rsid w:val="002F52A7"/>
    <w:rsid w:val="002F531B"/>
    <w:rsid w:val="002F5D82"/>
    <w:rsid w:val="002F5FF3"/>
    <w:rsid w:val="002F6292"/>
    <w:rsid w:val="002F64F7"/>
    <w:rsid w:val="002F7C79"/>
    <w:rsid w:val="002F7E26"/>
    <w:rsid w:val="00300E52"/>
    <w:rsid w:val="00301D42"/>
    <w:rsid w:val="0030226E"/>
    <w:rsid w:val="00302305"/>
    <w:rsid w:val="003026D8"/>
    <w:rsid w:val="00302EBD"/>
    <w:rsid w:val="0030324D"/>
    <w:rsid w:val="00303636"/>
    <w:rsid w:val="003045B7"/>
    <w:rsid w:val="00305668"/>
    <w:rsid w:val="00305B12"/>
    <w:rsid w:val="00306E39"/>
    <w:rsid w:val="003071F8"/>
    <w:rsid w:val="003073A3"/>
    <w:rsid w:val="003076F3"/>
    <w:rsid w:val="003077DE"/>
    <w:rsid w:val="00307F4B"/>
    <w:rsid w:val="00310B01"/>
    <w:rsid w:val="003115A5"/>
    <w:rsid w:val="00311B8A"/>
    <w:rsid w:val="00311D43"/>
    <w:rsid w:val="00316769"/>
    <w:rsid w:val="00317363"/>
    <w:rsid w:val="003210E8"/>
    <w:rsid w:val="003211F0"/>
    <w:rsid w:val="00321EDB"/>
    <w:rsid w:val="003220CA"/>
    <w:rsid w:val="003220F1"/>
    <w:rsid w:val="00322275"/>
    <w:rsid w:val="00322C79"/>
    <w:rsid w:val="00325A8C"/>
    <w:rsid w:val="00325DBB"/>
    <w:rsid w:val="003276A5"/>
    <w:rsid w:val="003278C9"/>
    <w:rsid w:val="00327B4A"/>
    <w:rsid w:val="00327C99"/>
    <w:rsid w:val="00327CDE"/>
    <w:rsid w:val="00327FA2"/>
    <w:rsid w:val="00331477"/>
    <w:rsid w:val="00331CBE"/>
    <w:rsid w:val="00332A1F"/>
    <w:rsid w:val="00332F14"/>
    <w:rsid w:val="00332F48"/>
    <w:rsid w:val="00333400"/>
    <w:rsid w:val="00335BD8"/>
    <w:rsid w:val="00336404"/>
    <w:rsid w:val="00337812"/>
    <w:rsid w:val="003379A9"/>
    <w:rsid w:val="00340D5F"/>
    <w:rsid w:val="00341CCF"/>
    <w:rsid w:val="00342109"/>
    <w:rsid w:val="003430F8"/>
    <w:rsid w:val="003436D4"/>
    <w:rsid w:val="00343B70"/>
    <w:rsid w:val="00345855"/>
    <w:rsid w:val="00345CE2"/>
    <w:rsid w:val="00346B38"/>
    <w:rsid w:val="0034707C"/>
    <w:rsid w:val="00347C87"/>
    <w:rsid w:val="0035012B"/>
    <w:rsid w:val="0035083D"/>
    <w:rsid w:val="003509DB"/>
    <w:rsid w:val="00351373"/>
    <w:rsid w:val="003518F9"/>
    <w:rsid w:val="003522DA"/>
    <w:rsid w:val="0035269C"/>
    <w:rsid w:val="003536A4"/>
    <w:rsid w:val="00353B91"/>
    <w:rsid w:val="00353C96"/>
    <w:rsid w:val="00353CD6"/>
    <w:rsid w:val="003540EE"/>
    <w:rsid w:val="00354207"/>
    <w:rsid w:val="0035450C"/>
    <w:rsid w:val="003557C5"/>
    <w:rsid w:val="00356068"/>
    <w:rsid w:val="003560FB"/>
    <w:rsid w:val="003567E4"/>
    <w:rsid w:val="003569E9"/>
    <w:rsid w:val="00356ADF"/>
    <w:rsid w:val="00356F25"/>
    <w:rsid w:val="003575E1"/>
    <w:rsid w:val="00357BF8"/>
    <w:rsid w:val="00357E83"/>
    <w:rsid w:val="00360324"/>
    <w:rsid w:val="0036062B"/>
    <w:rsid w:val="00360C1A"/>
    <w:rsid w:val="003622BB"/>
    <w:rsid w:val="003627CB"/>
    <w:rsid w:val="00365494"/>
    <w:rsid w:val="00365602"/>
    <w:rsid w:val="00365AEE"/>
    <w:rsid w:val="00365BF6"/>
    <w:rsid w:val="00365BFA"/>
    <w:rsid w:val="0036605D"/>
    <w:rsid w:val="00366C4E"/>
    <w:rsid w:val="00370169"/>
    <w:rsid w:val="0037088F"/>
    <w:rsid w:val="00370CDF"/>
    <w:rsid w:val="003721F1"/>
    <w:rsid w:val="003725E6"/>
    <w:rsid w:val="00373048"/>
    <w:rsid w:val="003739D3"/>
    <w:rsid w:val="00374A0B"/>
    <w:rsid w:val="00374C9E"/>
    <w:rsid w:val="003760BF"/>
    <w:rsid w:val="00376496"/>
    <w:rsid w:val="00380BE6"/>
    <w:rsid w:val="00381032"/>
    <w:rsid w:val="003815D3"/>
    <w:rsid w:val="00381609"/>
    <w:rsid w:val="00381CA8"/>
    <w:rsid w:val="00382C74"/>
    <w:rsid w:val="003830CA"/>
    <w:rsid w:val="00383547"/>
    <w:rsid w:val="00383ADC"/>
    <w:rsid w:val="003852EC"/>
    <w:rsid w:val="003907C8"/>
    <w:rsid w:val="00390C0B"/>
    <w:rsid w:val="00390DC1"/>
    <w:rsid w:val="003925AC"/>
    <w:rsid w:val="0039383E"/>
    <w:rsid w:val="00393A14"/>
    <w:rsid w:val="00393F3F"/>
    <w:rsid w:val="00395DC6"/>
    <w:rsid w:val="00396E4B"/>
    <w:rsid w:val="00396E83"/>
    <w:rsid w:val="00396F64"/>
    <w:rsid w:val="00397177"/>
    <w:rsid w:val="00397489"/>
    <w:rsid w:val="003974DA"/>
    <w:rsid w:val="00397D18"/>
    <w:rsid w:val="003A1D77"/>
    <w:rsid w:val="003A1E3C"/>
    <w:rsid w:val="003A387F"/>
    <w:rsid w:val="003A3E2A"/>
    <w:rsid w:val="003A437D"/>
    <w:rsid w:val="003A464B"/>
    <w:rsid w:val="003A4EC9"/>
    <w:rsid w:val="003A544C"/>
    <w:rsid w:val="003A5470"/>
    <w:rsid w:val="003A5499"/>
    <w:rsid w:val="003A585A"/>
    <w:rsid w:val="003A6267"/>
    <w:rsid w:val="003A66D3"/>
    <w:rsid w:val="003A774D"/>
    <w:rsid w:val="003A79A2"/>
    <w:rsid w:val="003B0194"/>
    <w:rsid w:val="003B0536"/>
    <w:rsid w:val="003B0C3F"/>
    <w:rsid w:val="003B1735"/>
    <w:rsid w:val="003B2310"/>
    <w:rsid w:val="003B266B"/>
    <w:rsid w:val="003B3CDB"/>
    <w:rsid w:val="003B4ACB"/>
    <w:rsid w:val="003B4E7E"/>
    <w:rsid w:val="003B54F5"/>
    <w:rsid w:val="003B587F"/>
    <w:rsid w:val="003B6768"/>
    <w:rsid w:val="003B7004"/>
    <w:rsid w:val="003B78AA"/>
    <w:rsid w:val="003C157F"/>
    <w:rsid w:val="003C17D1"/>
    <w:rsid w:val="003C1BB8"/>
    <w:rsid w:val="003C2212"/>
    <w:rsid w:val="003C2D99"/>
    <w:rsid w:val="003C482D"/>
    <w:rsid w:val="003C50C7"/>
    <w:rsid w:val="003C556B"/>
    <w:rsid w:val="003C711E"/>
    <w:rsid w:val="003C7E7E"/>
    <w:rsid w:val="003D06CB"/>
    <w:rsid w:val="003D0CE6"/>
    <w:rsid w:val="003D0EBF"/>
    <w:rsid w:val="003D1501"/>
    <w:rsid w:val="003D254D"/>
    <w:rsid w:val="003D262C"/>
    <w:rsid w:val="003D28A7"/>
    <w:rsid w:val="003D2B18"/>
    <w:rsid w:val="003D3577"/>
    <w:rsid w:val="003D3B94"/>
    <w:rsid w:val="003D3BC9"/>
    <w:rsid w:val="003D444B"/>
    <w:rsid w:val="003D61FA"/>
    <w:rsid w:val="003D631C"/>
    <w:rsid w:val="003D6875"/>
    <w:rsid w:val="003D6F75"/>
    <w:rsid w:val="003E0669"/>
    <w:rsid w:val="003E1453"/>
    <w:rsid w:val="003E272D"/>
    <w:rsid w:val="003E28A0"/>
    <w:rsid w:val="003E2D7E"/>
    <w:rsid w:val="003E2FB9"/>
    <w:rsid w:val="003E4991"/>
    <w:rsid w:val="003E4BDE"/>
    <w:rsid w:val="003E549F"/>
    <w:rsid w:val="003E5BAD"/>
    <w:rsid w:val="003E5D34"/>
    <w:rsid w:val="003E6065"/>
    <w:rsid w:val="003E7127"/>
    <w:rsid w:val="003E7496"/>
    <w:rsid w:val="003E76B3"/>
    <w:rsid w:val="003E7948"/>
    <w:rsid w:val="003E7E17"/>
    <w:rsid w:val="003F0281"/>
    <w:rsid w:val="003F06F1"/>
    <w:rsid w:val="003F2787"/>
    <w:rsid w:val="003F346B"/>
    <w:rsid w:val="003F3803"/>
    <w:rsid w:val="003F458F"/>
    <w:rsid w:val="003F4F70"/>
    <w:rsid w:val="003F5E6B"/>
    <w:rsid w:val="003F6F11"/>
    <w:rsid w:val="003F74FE"/>
    <w:rsid w:val="003F7609"/>
    <w:rsid w:val="003F7A5E"/>
    <w:rsid w:val="004009FD"/>
    <w:rsid w:val="00400B36"/>
    <w:rsid w:val="004018A3"/>
    <w:rsid w:val="00402245"/>
    <w:rsid w:val="00402570"/>
    <w:rsid w:val="0040449B"/>
    <w:rsid w:val="004051A7"/>
    <w:rsid w:val="0040563F"/>
    <w:rsid w:val="00407065"/>
    <w:rsid w:val="00407539"/>
    <w:rsid w:val="00410E21"/>
    <w:rsid w:val="0041141B"/>
    <w:rsid w:val="004115CA"/>
    <w:rsid w:val="004141C2"/>
    <w:rsid w:val="00414491"/>
    <w:rsid w:val="00415575"/>
    <w:rsid w:val="00415BE5"/>
    <w:rsid w:val="0041685C"/>
    <w:rsid w:val="00416D72"/>
    <w:rsid w:val="00416F07"/>
    <w:rsid w:val="004206A9"/>
    <w:rsid w:val="00422089"/>
    <w:rsid w:val="0042244B"/>
    <w:rsid w:val="004228B1"/>
    <w:rsid w:val="00422F36"/>
    <w:rsid w:val="00423522"/>
    <w:rsid w:val="0042432F"/>
    <w:rsid w:val="004245D9"/>
    <w:rsid w:val="00424836"/>
    <w:rsid w:val="00425005"/>
    <w:rsid w:val="00425153"/>
    <w:rsid w:val="004263F6"/>
    <w:rsid w:val="00427507"/>
    <w:rsid w:val="004302F8"/>
    <w:rsid w:val="0043124D"/>
    <w:rsid w:val="0043148C"/>
    <w:rsid w:val="00431594"/>
    <w:rsid w:val="0043290B"/>
    <w:rsid w:val="00433163"/>
    <w:rsid w:val="00435600"/>
    <w:rsid w:val="00435A2E"/>
    <w:rsid w:val="0043697F"/>
    <w:rsid w:val="00436C11"/>
    <w:rsid w:val="0043706B"/>
    <w:rsid w:val="0044084B"/>
    <w:rsid w:val="004420D6"/>
    <w:rsid w:val="00442CD9"/>
    <w:rsid w:val="00443916"/>
    <w:rsid w:val="0044421C"/>
    <w:rsid w:val="0044490C"/>
    <w:rsid w:val="004449B2"/>
    <w:rsid w:val="00444B01"/>
    <w:rsid w:val="00446264"/>
    <w:rsid w:val="00446D3B"/>
    <w:rsid w:val="00446FE3"/>
    <w:rsid w:val="00447964"/>
    <w:rsid w:val="00447CAE"/>
    <w:rsid w:val="004513B6"/>
    <w:rsid w:val="00451AE5"/>
    <w:rsid w:val="00453798"/>
    <w:rsid w:val="004542CA"/>
    <w:rsid w:val="0045443D"/>
    <w:rsid w:val="00454715"/>
    <w:rsid w:val="00454919"/>
    <w:rsid w:val="00454EB2"/>
    <w:rsid w:val="00455127"/>
    <w:rsid w:val="00455203"/>
    <w:rsid w:val="00455994"/>
    <w:rsid w:val="00457C3A"/>
    <w:rsid w:val="00457E5F"/>
    <w:rsid w:val="004605EF"/>
    <w:rsid w:val="00462E5D"/>
    <w:rsid w:val="00462F6B"/>
    <w:rsid w:val="004631D6"/>
    <w:rsid w:val="00463700"/>
    <w:rsid w:val="00463C8F"/>
    <w:rsid w:val="004650A9"/>
    <w:rsid w:val="00465596"/>
    <w:rsid w:val="00466435"/>
    <w:rsid w:val="004664AA"/>
    <w:rsid w:val="004672FF"/>
    <w:rsid w:val="004703BA"/>
    <w:rsid w:val="0047116D"/>
    <w:rsid w:val="004721CB"/>
    <w:rsid w:val="00472F7E"/>
    <w:rsid w:val="00473603"/>
    <w:rsid w:val="00474082"/>
    <w:rsid w:val="00474A60"/>
    <w:rsid w:val="00474D41"/>
    <w:rsid w:val="00475A4B"/>
    <w:rsid w:val="00475F3D"/>
    <w:rsid w:val="0047675C"/>
    <w:rsid w:val="00476A0D"/>
    <w:rsid w:val="00476B01"/>
    <w:rsid w:val="004771F8"/>
    <w:rsid w:val="00477A5B"/>
    <w:rsid w:val="00477D6C"/>
    <w:rsid w:val="00480493"/>
    <w:rsid w:val="004817AA"/>
    <w:rsid w:val="00481834"/>
    <w:rsid w:val="00482A89"/>
    <w:rsid w:val="0048381E"/>
    <w:rsid w:val="004839BB"/>
    <w:rsid w:val="0048474C"/>
    <w:rsid w:val="00485614"/>
    <w:rsid w:val="00485739"/>
    <w:rsid w:val="00486A0F"/>
    <w:rsid w:val="00487B88"/>
    <w:rsid w:val="0049058E"/>
    <w:rsid w:val="00490BC8"/>
    <w:rsid w:val="00494902"/>
    <w:rsid w:val="00495273"/>
    <w:rsid w:val="004954FD"/>
    <w:rsid w:val="00496512"/>
    <w:rsid w:val="0049751F"/>
    <w:rsid w:val="00497884"/>
    <w:rsid w:val="004A0590"/>
    <w:rsid w:val="004A174A"/>
    <w:rsid w:val="004A22B5"/>
    <w:rsid w:val="004A25EC"/>
    <w:rsid w:val="004A2ECF"/>
    <w:rsid w:val="004A33A6"/>
    <w:rsid w:val="004A3766"/>
    <w:rsid w:val="004A37FD"/>
    <w:rsid w:val="004A4512"/>
    <w:rsid w:val="004A4E82"/>
    <w:rsid w:val="004A52B3"/>
    <w:rsid w:val="004A5DAE"/>
    <w:rsid w:val="004A5F2B"/>
    <w:rsid w:val="004A6A7B"/>
    <w:rsid w:val="004A6A81"/>
    <w:rsid w:val="004A735C"/>
    <w:rsid w:val="004A7452"/>
    <w:rsid w:val="004B014C"/>
    <w:rsid w:val="004B0368"/>
    <w:rsid w:val="004B051C"/>
    <w:rsid w:val="004B12C5"/>
    <w:rsid w:val="004B32B1"/>
    <w:rsid w:val="004B3379"/>
    <w:rsid w:val="004B3D1F"/>
    <w:rsid w:val="004B4871"/>
    <w:rsid w:val="004B48EA"/>
    <w:rsid w:val="004B4B9E"/>
    <w:rsid w:val="004B545A"/>
    <w:rsid w:val="004B54FF"/>
    <w:rsid w:val="004B65F7"/>
    <w:rsid w:val="004C0A3B"/>
    <w:rsid w:val="004C15CA"/>
    <w:rsid w:val="004C1E5F"/>
    <w:rsid w:val="004C211C"/>
    <w:rsid w:val="004C3BEC"/>
    <w:rsid w:val="004C4A7D"/>
    <w:rsid w:val="004C4FB4"/>
    <w:rsid w:val="004C5114"/>
    <w:rsid w:val="004C569C"/>
    <w:rsid w:val="004C5BEA"/>
    <w:rsid w:val="004C6A8E"/>
    <w:rsid w:val="004C7851"/>
    <w:rsid w:val="004C7A83"/>
    <w:rsid w:val="004D11B8"/>
    <w:rsid w:val="004D22CF"/>
    <w:rsid w:val="004D2C6F"/>
    <w:rsid w:val="004D34FC"/>
    <w:rsid w:val="004D386B"/>
    <w:rsid w:val="004D3FAA"/>
    <w:rsid w:val="004D40BC"/>
    <w:rsid w:val="004D4B50"/>
    <w:rsid w:val="004D4D81"/>
    <w:rsid w:val="004D5B47"/>
    <w:rsid w:val="004D742C"/>
    <w:rsid w:val="004E188B"/>
    <w:rsid w:val="004E2217"/>
    <w:rsid w:val="004E26EA"/>
    <w:rsid w:val="004E2AD9"/>
    <w:rsid w:val="004E3290"/>
    <w:rsid w:val="004E37E0"/>
    <w:rsid w:val="004E3971"/>
    <w:rsid w:val="004E3A86"/>
    <w:rsid w:val="004E3E89"/>
    <w:rsid w:val="004E41D1"/>
    <w:rsid w:val="004E459A"/>
    <w:rsid w:val="004E4627"/>
    <w:rsid w:val="004E4E00"/>
    <w:rsid w:val="004E5B1C"/>
    <w:rsid w:val="004E6DA0"/>
    <w:rsid w:val="004E7294"/>
    <w:rsid w:val="004E7352"/>
    <w:rsid w:val="004E784F"/>
    <w:rsid w:val="004F05E4"/>
    <w:rsid w:val="004F1772"/>
    <w:rsid w:val="004F2A4A"/>
    <w:rsid w:val="004F2B63"/>
    <w:rsid w:val="004F2BCD"/>
    <w:rsid w:val="004F4A49"/>
    <w:rsid w:val="004F5D40"/>
    <w:rsid w:val="004F6FCF"/>
    <w:rsid w:val="004F70AD"/>
    <w:rsid w:val="004F76AA"/>
    <w:rsid w:val="004F7735"/>
    <w:rsid w:val="0050297D"/>
    <w:rsid w:val="00502E8D"/>
    <w:rsid w:val="00502F49"/>
    <w:rsid w:val="00503148"/>
    <w:rsid w:val="005032D6"/>
    <w:rsid w:val="00503300"/>
    <w:rsid w:val="00505B5D"/>
    <w:rsid w:val="0050718B"/>
    <w:rsid w:val="00507E37"/>
    <w:rsid w:val="00507EFA"/>
    <w:rsid w:val="0051001E"/>
    <w:rsid w:val="00510A1E"/>
    <w:rsid w:val="005111E6"/>
    <w:rsid w:val="00511D1C"/>
    <w:rsid w:val="00512583"/>
    <w:rsid w:val="00512873"/>
    <w:rsid w:val="005136AA"/>
    <w:rsid w:val="00513C98"/>
    <w:rsid w:val="0051401D"/>
    <w:rsid w:val="00514067"/>
    <w:rsid w:val="005144C9"/>
    <w:rsid w:val="00514E47"/>
    <w:rsid w:val="005158AC"/>
    <w:rsid w:val="00520385"/>
    <w:rsid w:val="00520853"/>
    <w:rsid w:val="00521C72"/>
    <w:rsid w:val="005233D0"/>
    <w:rsid w:val="0052462D"/>
    <w:rsid w:val="00524D71"/>
    <w:rsid w:val="005262A5"/>
    <w:rsid w:val="005263C3"/>
    <w:rsid w:val="00526A44"/>
    <w:rsid w:val="005279BC"/>
    <w:rsid w:val="00530F70"/>
    <w:rsid w:val="0053149D"/>
    <w:rsid w:val="005320DC"/>
    <w:rsid w:val="005321D5"/>
    <w:rsid w:val="00532724"/>
    <w:rsid w:val="005327C1"/>
    <w:rsid w:val="005329FA"/>
    <w:rsid w:val="005355D0"/>
    <w:rsid w:val="0053584F"/>
    <w:rsid w:val="00535D3F"/>
    <w:rsid w:val="00540238"/>
    <w:rsid w:val="00540ABF"/>
    <w:rsid w:val="00541627"/>
    <w:rsid w:val="00541771"/>
    <w:rsid w:val="00541AA5"/>
    <w:rsid w:val="00542A5D"/>
    <w:rsid w:val="0054300D"/>
    <w:rsid w:val="00543437"/>
    <w:rsid w:val="00544D9A"/>
    <w:rsid w:val="0054743C"/>
    <w:rsid w:val="00547C66"/>
    <w:rsid w:val="00547EDA"/>
    <w:rsid w:val="005510D1"/>
    <w:rsid w:val="00551A1E"/>
    <w:rsid w:val="00552AD5"/>
    <w:rsid w:val="00552AD6"/>
    <w:rsid w:val="00553377"/>
    <w:rsid w:val="00553446"/>
    <w:rsid w:val="0055355C"/>
    <w:rsid w:val="005537C0"/>
    <w:rsid w:val="00553DB1"/>
    <w:rsid w:val="00553E27"/>
    <w:rsid w:val="00553EAD"/>
    <w:rsid w:val="00554BFA"/>
    <w:rsid w:val="0055538F"/>
    <w:rsid w:val="00555777"/>
    <w:rsid w:val="005575B4"/>
    <w:rsid w:val="0056167D"/>
    <w:rsid w:val="00561A91"/>
    <w:rsid w:val="00561E5C"/>
    <w:rsid w:val="00564CED"/>
    <w:rsid w:val="00564D1B"/>
    <w:rsid w:val="00566216"/>
    <w:rsid w:val="00566A1E"/>
    <w:rsid w:val="00566A88"/>
    <w:rsid w:val="00566B4D"/>
    <w:rsid w:val="00567C7F"/>
    <w:rsid w:val="00570BD6"/>
    <w:rsid w:val="005718A2"/>
    <w:rsid w:val="00572DBD"/>
    <w:rsid w:val="005737EA"/>
    <w:rsid w:val="00573BD1"/>
    <w:rsid w:val="005741FB"/>
    <w:rsid w:val="005742DB"/>
    <w:rsid w:val="00574A3F"/>
    <w:rsid w:val="00574E29"/>
    <w:rsid w:val="005752D4"/>
    <w:rsid w:val="0057575D"/>
    <w:rsid w:val="00575CC9"/>
    <w:rsid w:val="00577E65"/>
    <w:rsid w:val="00577EB1"/>
    <w:rsid w:val="0058030B"/>
    <w:rsid w:val="005810E6"/>
    <w:rsid w:val="00581379"/>
    <w:rsid w:val="00584C9A"/>
    <w:rsid w:val="005854FE"/>
    <w:rsid w:val="00585850"/>
    <w:rsid w:val="00585E4D"/>
    <w:rsid w:val="005860B9"/>
    <w:rsid w:val="00586778"/>
    <w:rsid w:val="00586BF2"/>
    <w:rsid w:val="005905F8"/>
    <w:rsid w:val="005929F6"/>
    <w:rsid w:val="0059329B"/>
    <w:rsid w:val="005943E5"/>
    <w:rsid w:val="0059539D"/>
    <w:rsid w:val="00596A2D"/>
    <w:rsid w:val="00596CE9"/>
    <w:rsid w:val="00596E73"/>
    <w:rsid w:val="00597E5B"/>
    <w:rsid w:val="005A0BFC"/>
    <w:rsid w:val="005A2451"/>
    <w:rsid w:val="005A2D27"/>
    <w:rsid w:val="005A3222"/>
    <w:rsid w:val="005A34A9"/>
    <w:rsid w:val="005A3723"/>
    <w:rsid w:val="005A4950"/>
    <w:rsid w:val="005A5021"/>
    <w:rsid w:val="005A580B"/>
    <w:rsid w:val="005A5A50"/>
    <w:rsid w:val="005A61ED"/>
    <w:rsid w:val="005A63D4"/>
    <w:rsid w:val="005A7CA7"/>
    <w:rsid w:val="005B0ED7"/>
    <w:rsid w:val="005B22F6"/>
    <w:rsid w:val="005B43A0"/>
    <w:rsid w:val="005B4D10"/>
    <w:rsid w:val="005B612C"/>
    <w:rsid w:val="005C0AB4"/>
    <w:rsid w:val="005C0E34"/>
    <w:rsid w:val="005C0F92"/>
    <w:rsid w:val="005C16C3"/>
    <w:rsid w:val="005C17F8"/>
    <w:rsid w:val="005C1DB1"/>
    <w:rsid w:val="005C2884"/>
    <w:rsid w:val="005C2CAD"/>
    <w:rsid w:val="005C2DA2"/>
    <w:rsid w:val="005C3273"/>
    <w:rsid w:val="005C3DCB"/>
    <w:rsid w:val="005C47BD"/>
    <w:rsid w:val="005C4837"/>
    <w:rsid w:val="005C4E8D"/>
    <w:rsid w:val="005C5311"/>
    <w:rsid w:val="005C5FB3"/>
    <w:rsid w:val="005C6FF1"/>
    <w:rsid w:val="005C732A"/>
    <w:rsid w:val="005D041F"/>
    <w:rsid w:val="005D0C13"/>
    <w:rsid w:val="005D11C2"/>
    <w:rsid w:val="005D1301"/>
    <w:rsid w:val="005D22B4"/>
    <w:rsid w:val="005D27E4"/>
    <w:rsid w:val="005D2CE1"/>
    <w:rsid w:val="005D477A"/>
    <w:rsid w:val="005D6ADE"/>
    <w:rsid w:val="005D6CF8"/>
    <w:rsid w:val="005D6D71"/>
    <w:rsid w:val="005D6E38"/>
    <w:rsid w:val="005D6F5E"/>
    <w:rsid w:val="005D78C1"/>
    <w:rsid w:val="005E022F"/>
    <w:rsid w:val="005E05AB"/>
    <w:rsid w:val="005E1055"/>
    <w:rsid w:val="005E10F3"/>
    <w:rsid w:val="005E1458"/>
    <w:rsid w:val="005E26D4"/>
    <w:rsid w:val="005E39E2"/>
    <w:rsid w:val="005E4C08"/>
    <w:rsid w:val="005E6551"/>
    <w:rsid w:val="005E67F0"/>
    <w:rsid w:val="005F0525"/>
    <w:rsid w:val="005F0921"/>
    <w:rsid w:val="005F12C5"/>
    <w:rsid w:val="005F139F"/>
    <w:rsid w:val="005F1D3D"/>
    <w:rsid w:val="005F2DB6"/>
    <w:rsid w:val="005F3A83"/>
    <w:rsid w:val="005F6342"/>
    <w:rsid w:val="005F6AE8"/>
    <w:rsid w:val="005F745A"/>
    <w:rsid w:val="005F75CA"/>
    <w:rsid w:val="005F7C96"/>
    <w:rsid w:val="00600472"/>
    <w:rsid w:val="00600536"/>
    <w:rsid w:val="006006B3"/>
    <w:rsid w:val="00600DDE"/>
    <w:rsid w:val="00601621"/>
    <w:rsid w:val="00601CA2"/>
    <w:rsid w:val="00602DE6"/>
    <w:rsid w:val="00603547"/>
    <w:rsid w:val="00603AE7"/>
    <w:rsid w:val="00604BBD"/>
    <w:rsid w:val="00604EB2"/>
    <w:rsid w:val="0060655D"/>
    <w:rsid w:val="00606FBD"/>
    <w:rsid w:val="00610170"/>
    <w:rsid w:val="00610AF7"/>
    <w:rsid w:val="0061110C"/>
    <w:rsid w:val="00612657"/>
    <w:rsid w:val="00613170"/>
    <w:rsid w:val="00613E02"/>
    <w:rsid w:val="006144C6"/>
    <w:rsid w:val="00616228"/>
    <w:rsid w:val="006163B2"/>
    <w:rsid w:val="00616720"/>
    <w:rsid w:val="006211D4"/>
    <w:rsid w:val="0062127C"/>
    <w:rsid w:val="006219FF"/>
    <w:rsid w:val="006225E2"/>
    <w:rsid w:val="006232FC"/>
    <w:rsid w:val="0062547D"/>
    <w:rsid w:val="006254EF"/>
    <w:rsid w:val="00626598"/>
    <w:rsid w:val="00626AD2"/>
    <w:rsid w:val="00630646"/>
    <w:rsid w:val="00631242"/>
    <w:rsid w:val="00631996"/>
    <w:rsid w:val="00632F71"/>
    <w:rsid w:val="00633815"/>
    <w:rsid w:val="00633D60"/>
    <w:rsid w:val="00633E2E"/>
    <w:rsid w:val="00634F4A"/>
    <w:rsid w:val="00635030"/>
    <w:rsid w:val="0063507E"/>
    <w:rsid w:val="00635345"/>
    <w:rsid w:val="00636B5C"/>
    <w:rsid w:val="0063777B"/>
    <w:rsid w:val="00637953"/>
    <w:rsid w:val="00637F0E"/>
    <w:rsid w:val="00640C17"/>
    <w:rsid w:val="00641747"/>
    <w:rsid w:val="00642CFD"/>
    <w:rsid w:val="00644136"/>
    <w:rsid w:val="0064481B"/>
    <w:rsid w:val="00644E32"/>
    <w:rsid w:val="0064545F"/>
    <w:rsid w:val="006456FA"/>
    <w:rsid w:val="00645AFE"/>
    <w:rsid w:val="00645BA9"/>
    <w:rsid w:val="00645C23"/>
    <w:rsid w:val="00647AB5"/>
    <w:rsid w:val="0065016C"/>
    <w:rsid w:val="00650297"/>
    <w:rsid w:val="00651D18"/>
    <w:rsid w:val="00652182"/>
    <w:rsid w:val="00652879"/>
    <w:rsid w:val="00653142"/>
    <w:rsid w:val="00653592"/>
    <w:rsid w:val="00653D5C"/>
    <w:rsid w:val="00653F8C"/>
    <w:rsid w:val="0065409F"/>
    <w:rsid w:val="0065534B"/>
    <w:rsid w:val="0065644F"/>
    <w:rsid w:val="00656456"/>
    <w:rsid w:val="0065734A"/>
    <w:rsid w:val="00657B48"/>
    <w:rsid w:val="00660143"/>
    <w:rsid w:val="006619D7"/>
    <w:rsid w:val="00661E98"/>
    <w:rsid w:val="006622E1"/>
    <w:rsid w:val="00662975"/>
    <w:rsid w:val="006633F2"/>
    <w:rsid w:val="0066364A"/>
    <w:rsid w:val="00663DEC"/>
    <w:rsid w:val="00664B52"/>
    <w:rsid w:val="00665023"/>
    <w:rsid w:val="00665149"/>
    <w:rsid w:val="00665502"/>
    <w:rsid w:val="00665623"/>
    <w:rsid w:val="0066677B"/>
    <w:rsid w:val="00667A88"/>
    <w:rsid w:val="00667CAC"/>
    <w:rsid w:val="00670CC2"/>
    <w:rsid w:val="00671724"/>
    <w:rsid w:val="00671AAB"/>
    <w:rsid w:val="00673450"/>
    <w:rsid w:val="00673A1C"/>
    <w:rsid w:val="00673AB4"/>
    <w:rsid w:val="00673C4D"/>
    <w:rsid w:val="00674653"/>
    <w:rsid w:val="0067509F"/>
    <w:rsid w:val="00676E83"/>
    <w:rsid w:val="00677DE3"/>
    <w:rsid w:val="0068182F"/>
    <w:rsid w:val="00682015"/>
    <w:rsid w:val="00682E34"/>
    <w:rsid w:val="00683407"/>
    <w:rsid w:val="006834C2"/>
    <w:rsid w:val="006837CD"/>
    <w:rsid w:val="00685659"/>
    <w:rsid w:val="0068591B"/>
    <w:rsid w:val="006866F3"/>
    <w:rsid w:val="00690CE6"/>
    <w:rsid w:val="00692766"/>
    <w:rsid w:val="0069316E"/>
    <w:rsid w:val="0069528B"/>
    <w:rsid w:val="0069595B"/>
    <w:rsid w:val="006963BF"/>
    <w:rsid w:val="006973C4"/>
    <w:rsid w:val="006A100B"/>
    <w:rsid w:val="006A2F97"/>
    <w:rsid w:val="006A3CEB"/>
    <w:rsid w:val="006A471A"/>
    <w:rsid w:val="006A4AD5"/>
    <w:rsid w:val="006A5183"/>
    <w:rsid w:val="006A5AC6"/>
    <w:rsid w:val="006A6BD9"/>
    <w:rsid w:val="006B0947"/>
    <w:rsid w:val="006B1F3B"/>
    <w:rsid w:val="006B2328"/>
    <w:rsid w:val="006B2764"/>
    <w:rsid w:val="006B4371"/>
    <w:rsid w:val="006B4BCF"/>
    <w:rsid w:val="006B4BD5"/>
    <w:rsid w:val="006B5128"/>
    <w:rsid w:val="006B5CBD"/>
    <w:rsid w:val="006B6119"/>
    <w:rsid w:val="006B6385"/>
    <w:rsid w:val="006B7017"/>
    <w:rsid w:val="006C0CF7"/>
    <w:rsid w:val="006C13DF"/>
    <w:rsid w:val="006C156B"/>
    <w:rsid w:val="006C38CD"/>
    <w:rsid w:val="006C3A70"/>
    <w:rsid w:val="006C51EC"/>
    <w:rsid w:val="006C7183"/>
    <w:rsid w:val="006C7549"/>
    <w:rsid w:val="006C764E"/>
    <w:rsid w:val="006D05EE"/>
    <w:rsid w:val="006D161A"/>
    <w:rsid w:val="006D242B"/>
    <w:rsid w:val="006D24A2"/>
    <w:rsid w:val="006D2872"/>
    <w:rsid w:val="006D4854"/>
    <w:rsid w:val="006D4988"/>
    <w:rsid w:val="006D4E01"/>
    <w:rsid w:val="006D4EC8"/>
    <w:rsid w:val="006D5A48"/>
    <w:rsid w:val="006D6308"/>
    <w:rsid w:val="006D6E70"/>
    <w:rsid w:val="006E0600"/>
    <w:rsid w:val="006E06B5"/>
    <w:rsid w:val="006E2073"/>
    <w:rsid w:val="006E21C3"/>
    <w:rsid w:val="006E3FE2"/>
    <w:rsid w:val="006E454A"/>
    <w:rsid w:val="006F0E2C"/>
    <w:rsid w:val="006F116B"/>
    <w:rsid w:val="006F1847"/>
    <w:rsid w:val="006F328C"/>
    <w:rsid w:val="006F3888"/>
    <w:rsid w:val="006F4B9D"/>
    <w:rsid w:val="006F6452"/>
    <w:rsid w:val="006F6A67"/>
    <w:rsid w:val="006F6D43"/>
    <w:rsid w:val="006F7B15"/>
    <w:rsid w:val="00700012"/>
    <w:rsid w:val="00700039"/>
    <w:rsid w:val="00701601"/>
    <w:rsid w:val="007017F7"/>
    <w:rsid w:val="00701F0C"/>
    <w:rsid w:val="00703A6D"/>
    <w:rsid w:val="007041C1"/>
    <w:rsid w:val="00704FB2"/>
    <w:rsid w:val="00705684"/>
    <w:rsid w:val="00705742"/>
    <w:rsid w:val="007067A1"/>
    <w:rsid w:val="00706828"/>
    <w:rsid w:val="007072B2"/>
    <w:rsid w:val="00710277"/>
    <w:rsid w:val="0071160B"/>
    <w:rsid w:val="0071267E"/>
    <w:rsid w:val="00712A57"/>
    <w:rsid w:val="00712CE9"/>
    <w:rsid w:val="00712F37"/>
    <w:rsid w:val="00712F61"/>
    <w:rsid w:val="007134A9"/>
    <w:rsid w:val="007146B6"/>
    <w:rsid w:val="00714DD5"/>
    <w:rsid w:val="00716571"/>
    <w:rsid w:val="00717112"/>
    <w:rsid w:val="0071784C"/>
    <w:rsid w:val="00720408"/>
    <w:rsid w:val="007208CC"/>
    <w:rsid w:val="00720B61"/>
    <w:rsid w:val="0072119E"/>
    <w:rsid w:val="00721521"/>
    <w:rsid w:val="007218E7"/>
    <w:rsid w:val="007221BA"/>
    <w:rsid w:val="007228C9"/>
    <w:rsid w:val="00722A6E"/>
    <w:rsid w:val="00724393"/>
    <w:rsid w:val="007247BE"/>
    <w:rsid w:val="0072510C"/>
    <w:rsid w:val="00725E38"/>
    <w:rsid w:val="00726157"/>
    <w:rsid w:val="00726833"/>
    <w:rsid w:val="00726E5D"/>
    <w:rsid w:val="00727405"/>
    <w:rsid w:val="00730EA6"/>
    <w:rsid w:val="00731253"/>
    <w:rsid w:val="0073138C"/>
    <w:rsid w:val="007333ED"/>
    <w:rsid w:val="00733811"/>
    <w:rsid w:val="00734044"/>
    <w:rsid w:val="007345BA"/>
    <w:rsid w:val="007353D8"/>
    <w:rsid w:val="00736A33"/>
    <w:rsid w:val="00737748"/>
    <w:rsid w:val="00740D99"/>
    <w:rsid w:val="007418E1"/>
    <w:rsid w:val="00742285"/>
    <w:rsid w:val="00743743"/>
    <w:rsid w:val="00743BC4"/>
    <w:rsid w:val="00743ED3"/>
    <w:rsid w:val="007446FC"/>
    <w:rsid w:val="007450BE"/>
    <w:rsid w:val="0074530F"/>
    <w:rsid w:val="007453D9"/>
    <w:rsid w:val="0074578A"/>
    <w:rsid w:val="00745815"/>
    <w:rsid w:val="00745EE2"/>
    <w:rsid w:val="007467CE"/>
    <w:rsid w:val="00746924"/>
    <w:rsid w:val="00747E0D"/>
    <w:rsid w:val="00751BC9"/>
    <w:rsid w:val="00751E41"/>
    <w:rsid w:val="00752D76"/>
    <w:rsid w:val="00753341"/>
    <w:rsid w:val="00754492"/>
    <w:rsid w:val="00754ED8"/>
    <w:rsid w:val="00756220"/>
    <w:rsid w:val="007565BD"/>
    <w:rsid w:val="007568F0"/>
    <w:rsid w:val="007609C7"/>
    <w:rsid w:val="0076173A"/>
    <w:rsid w:val="00764374"/>
    <w:rsid w:val="00764692"/>
    <w:rsid w:val="00765CBB"/>
    <w:rsid w:val="0076673C"/>
    <w:rsid w:val="00767353"/>
    <w:rsid w:val="0076747D"/>
    <w:rsid w:val="00770413"/>
    <w:rsid w:val="00770610"/>
    <w:rsid w:val="007706A8"/>
    <w:rsid w:val="00770ADD"/>
    <w:rsid w:val="0077103B"/>
    <w:rsid w:val="007714E0"/>
    <w:rsid w:val="0077198B"/>
    <w:rsid w:val="00771DB5"/>
    <w:rsid w:val="00771F49"/>
    <w:rsid w:val="00774D1B"/>
    <w:rsid w:val="00774EA5"/>
    <w:rsid w:val="00776821"/>
    <w:rsid w:val="00777B1E"/>
    <w:rsid w:val="00780A4A"/>
    <w:rsid w:val="007819C9"/>
    <w:rsid w:val="00781C01"/>
    <w:rsid w:val="00782AF1"/>
    <w:rsid w:val="00782C2D"/>
    <w:rsid w:val="00783967"/>
    <w:rsid w:val="00784039"/>
    <w:rsid w:val="0078414F"/>
    <w:rsid w:val="00784B27"/>
    <w:rsid w:val="007856C7"/>
    <w:rsid w:val="00785AB5"/>
    <w:rsid w:val="0078615E"/>
    <w:rsid w:val="0078750C"/>
    <w:rsid w:val="007902B8"/>
    <w:rsid w:val="00790A6B"/>
    <w:rsid w:val="007913A0"/>
    <w:rsid w:val="007913A5"/>
    <w:rsid w:val="00791867"/>
    <w:rsid w:val="00792036"/>
    <w:rsid w:val="00792876"/>
    <w:rsid w:val="0079535F"/>
    <w:rsid w:val="0079579B"/>
    <w:rsid w:val="00795B5C"/>
    <w:rsid w:val="00796030"/>
    <w:rsid w:val="007971D3"/>
    <w:rsid w:val="00797623"/>
    <w:rsid w:val="007A1EFC"/>
    <w:rsid w:val="007A213D"/>
    <w:rsid w:val="007A22AB"/>
    <w:rsid w:val="007A2685"/>
    <w:rsid w:val="007A354E"/>
    <w:rsid w:val="007A4FAC"/>
    <w:rsid w:val="007A545C"/>
    <w:rsid w:val="007A6C6B"/>
    <w:rsid w:val="007A754D"/>
    <w:rsid w:val="007B0756"/>
    <w:rsid w:val="007B09C4"/>
    <w:rsid w:val="007B195F"/>
    <w:rsid w:val="007B1C57"/>
    <w:rsid w:val="007B1F6B"/>
    <w:rsid w:val="007B273A"/>
    <w:rsid w:val="007B428D"/>
    <w:rsid w:val="007B5492"/>
    <w:rsid w:val="007B599E"/>
    <w:rsid w:val="007B5AF8"/>
    <w:rsid w:val="007B5E99"/>
    <w:rsid w:val="007B725E"/>
    <w:rsid w:val="007B7FB9"/>
    <w:rsid w:val="007C0711"/>
    <w:rsid w:val="007C073D"/>
    <w:rsid w:val="007C0787"/>
    <w:rsid w:val="007C0A5A"/>
    <w:rsid w:val="007C0DA9"/>
    <w:rsid w:val="007C0DCC"/>
    <w:rsid w:val="007C0E57"/>
    <w:rsid w:val="007C2046"/>
    <w:rsid w:val="007C3594"/>
    <w:rsid w:val="007C5098"/>
    <w:rsid w:val="007C7831"/>
    <w:rsid w:val="007C7E88"/>
    <w:rsid w:val="007D14B8"/>
    <w:rsid w:val="007D18B5"/>
    <w:rsid w:val="007D2129"/>
    <w:rsid w:val="007D2212"/>
    <w:rsid w:val="007D294E"/>
    <w:rsid w:val="007D2C9D"/>
    <w:rsid w:val="007D2FED"/>
    <w:rsid w:val="007D3A5E"/>
    <w:rsid w:val="007D51FC"/>
    <w:rsid w:val="007D580F"/>
    <w:rsid w:val="007D5A18"/>
    <w:rsid w:val="007D6135"/>
    <w:rsid w:val="007D6D25"/>
    <w:rsid w:val="007D764C"/>
    <w:rsid w:val="007E08B6"/>
    <w:rsid w:val="007E0935"/>
    <w:rsid w:val="007E0B90"/>
    <w:rsid w:val="007E2C89"/>
    <w:rsid w:val="007E36D1"/>
    <w:rsid w:val="007E3B19"/>
    <w:rsid w:val="007E462D"/>
    <w:rsid w:val="007E790B"/>
    <w:rsid w:val="007F1A1D"/>
    <w:rsid w:val="007F1F01"/>
    <w:rsid w:val="007F30ED"/>
    <w:rsid w:val="007F3501"/>
    <w:rsid w:val="007F38C6"/>
    <w:rsid w:val="007F3F5F"/>
    <w:rsid w:val="007F5E09"/>
    <w:rsid w:val="007F7334"/>
    <w:rsid w:val="0080061D"/>
    <w:rsid w:val="00800A29"/>
    <w:rsid w:val="00800DE5"/>
    <w:rsid w:val="00800F08"/>
    <w:rsid w:val="00801093"/>
    <w:rsid w:val="00802AFC"/>
    <w:rsid w:val="00804854"/>
    <w:rsid w:val="00804F62"/>
    <w:rsid w:val="00805008"/>
    <w:rsid w:val="00806DA7"/>
    <w:rsid w:val="0080736D"/>
    <w:rsid w:val="00807737"/>
    <w:rsid w:val="00807920"/>
    <w:rsid w:val="0081017D"/>
    <w:rsid w:val="00811E72"/>
    <w:rsid w:val="008127C1"/>
    <w:rsid w:val="00813426"/>
    <w:rsid w:val="008138DF"/>
    <w:rsid w:val="00813A65"/>
    <w:rsid w:val="00814DE8"/>
    <w:rsid w:val="008153F8"/>
    <w:rsid w:val="0081557F"/>
    <w:rsid w:val="00816093"/>
    <w:rsid w:val="008161E9"/>
    <w:rsid w:val="00816497"/>
    <w:rsid w:val="00816A0B"/>
    <w:rsid w:val="00816ADF"/>
    <w:rsid w:val="0081721D"/>
    <w:rsid w:val="0082048C"/>
    <w:rsid w:val="00821C08"/>
    <w:rsid w:val="008222B0"/>
    <w:rsid w:val="00823200"/>
    <w:rsid w:val="008241D9"/>
    <w:rsid w:val="008242B3"/>
    <w:rsid w:val="00824BD7"/>
    <w:rsid w:val="008260C7"/>
    <w:rsid w:val="0082652A"/>
    <w:rsid w:val="00826823"/>
    <w:rsid w:val="00826ED3"/>
    <w:rsid w:val="00827882"/>
    <w:rsid w:val="00827AB6"/>
    <w:rsid w:val="008309F4"/>
    <w:rsid w:val="00832114"/>
    <w:rsid w:val="008339B9"/>
    <w:rsid w:val="00833B7C"/>
    <w:rsid w:val="00833C2C"/>
    <w:rsid w:val="0083473C"/>
    <w:rsid w:val="0083505D"/>
    <w:rsid w:val="00837851"/>
    <w:rsid w:val="00840E70"/>
    <w:rsid w:val="00840FC2"/>
    <w:rsid w:val="00841225"/>
    <w:rsid w:val="0084135B"/>
    <w:rsid w:val="0084155B"/>
    <w:rsid w:val="00841CD3"/>
    <w:rsid w:val="00841DD8"/>
    <w:rsid w:val="0084201F"/>
    <w:rsid w:val="008440CA"/>
    <w:rsid w:val="008452FD"/>
    <w:rsid w:val="008456B2"/>
    <w:rsid w:val="00845C84"/>
    <w:rsid w:val="00846111"/>
    <w:rsid w:val="00846EBF"/>
    <w:rsid w:val="00847B78"/>
    <w:rsid w:val="00850B6B"/>
    <w:rsid w:val="00852082"/>
    <w:rsid w:val="008520E8"/>
    <w:rsid w:val="00852A4F"/>
    <w:rsid w:val="00853BA1"/>
    <w:rsid w:val="00854129"/>
    <w:rsid w:val="00854408"/>
    <w:rsid w:val="008546D4"/>
    <w:rsid w:val="00854C02"/>
    <w:rsid w:val="008562FA"/>
    <w:rsid w:val="0085649A"/>
    <w:rsid w:val="00856745"/>
    <w:rsid w:val="0085693D"/>
    <w:rsid w:val="0086008F"/>
    <w:rsid w:val="008611BF"/>
    <w:rsid w:val="00861542"/>
    <w:rsid w:val="008619B5"/>
    <w:rsid w:val="00862568"/>
    <w:rsid w:val="00862A88"/>
    <w:rsid w:val="00862BB6"/>
    <w:rsid w:val="00862F3A"/>
    <w:rsid w:val="008644B4"/>
    <w:rsid w:val="00864940"/>
    <w:rsid w:val="00865E54"/>
    <w:rsid w:val="00865E8D"/>
    <w:rsid w:val="0086618B"/>
    <w:rsid w:val="008668E9"/>
    <w:rsid w:val="008669A0"/>
    <w:rsid w:val="00866B58"/>
    <w:rsid w:val="00867143"/>
    <w:rsid w:val="008672C4"/>
    <w:rsid w:val="00867A2F"/>
    <w:rsid w:val="0087000E"/>
    <w:rsid w:val="00870B41"/>
    <w:rsid w:val="00870D61"/>
    <w:rsid w:val="008710DE"/>
    <w:rsid w:val="0087121F"/>
    <w:rsid w:val="00871831"/>
    <w:rsid w:val="008723E0"/>
    <w:rsid w:val="00872658"/>
    <w:rsid w:val="008730F2"/>
    <w:rsid w:val="0087398C"/>
    <w:rsid w:val="008742F7"/>
    <w:rsid w:val="00874AB9"/>
    <w:rsid w:val="0087522C"/>
    <w:rsid w:val="0087573A"/>
    <w:rsid w:val="008762EA"/>
    <w:rsid w:val="0087694F"/>
    <w:rsid w:val="00876979"/>
    <w:rsid w:val="00876B90"/>
    <w:rsid w:val="00876D43"/>
    <w:rsid w:val="00877559"/>
    <w:rsid w:val="008800CA"/>
    <w:rsid w:val="008801EB"/>
    <w:rsid w:val="008808D8"/>
    <w:rsid w:val="0088148D"/>
    <w:rsid w:val="00881E16"/>
    <w:rsid w:val="00881F02"/>
    <w:rsid w:val="00882E77"/>
    <w:rsid w:val="00884FDA"/>
    <w:rsid w:val="008854C2"/>
    <w:rsid w:val="00885641"/>
    <w:rsid w:val="00885948"/>
    <w:rsid w:val="00885B17"/>
    <w:rsid w:val="00886496"/>
    <w:rsid w:val="0088707E"/>
    <w:rsid w:val="00891B5A"/>
    <w:rsid w:val="00891FF7"/>
    <w:rsid w:val="008923CC"/>
    <w:rsid w:val="00892E27"/>
    <w:rsid w:val="00893A95"/>
    <w:rsid w:val="00894141"/>
    <w:rsid w:val="00895260"/>
    <w:rsid w:val="00895387"/>
    <w:rsid w:val="0089632C"/>
    <w:rsid w:val="008965FF"/>
    <w:rsid w:val="00896804"/>
    <w:rsid w:val="008972B0"/>
    <w:rsid w:val="008A1574"/>
    <w:rsid w:val="008A2345"/>
    <w:rsid w:val="008A256A"/>
    <w:rsid w:val="008A2A4D"/>
    <w:rsid w:val="008A4442"/>
    <w:rsid w:val="008A4E5E"/>
    <w:rsid w:val="008A5FCA"/>
    <w:rsid w:val="008A6373"/>
    <w:rsid w:val="008A6901"/>
    <w:rsid w:val="008A6C2C"/>
    <w:rsid w:val="008B01BC"/>
    <w:rsid w:val="008B0403"/>
    <w:rsid w:val="008B0441"/>
    <w:rsid w:val="008B0AA7"/>
    <w:rsid w:val="008B0B44"/>
    <w:rsid w:val="008B1B51"/>
    <w:rsid w:val="008B1B9E"/>
    <w:rsid w:val="008B2DB1"/>
    <w:rsid w:val="008B2E8C"/>
    <w:rsid w:val="008B3252"/>
    <w:rsid w:val="008B35D9"/>
    <w:rsid w:val="008B541A"/>
    <w:rsid w:val="008B54CA"/>
    <w:rsid w:val="008B59A2"/>
    <w:rsid w:val="008B5E6E"/>
    <w:rsid w:val="008B7251"/>
    <w:rsid w:val="008B758D"/>
    <w:rsid w:val="008C0603"/>
    <w:rsid w:val="008C0723"/>
    <w:rsid w:val="008C1D9B"/>
    <w:rsid w:val="008C2848"/>
    <w:rsid w:val="008C2B79"/>
    <w:rsid w:val="008C2C86"/>
    <w:rsid w:val="008C48DE"/>
    <w:rsid w:val="008C68E3"/>
    <w:rsid w:val="008C78C4"/>
    <w:rsid w:val="008C7DD6"/>
    <w:rsid w:val="008C7FA9"/>
    <w:rsid w:val="008D017C"/>
    <w:rsid w:val="008D07A3"/>
    <w:rsid w:val="008D1306"/>
    <w:rsid w:val="008D14F2"/>
    <w:rsid w:val="008D16BD"/>
    <w:rsid w:val="008D197C"/>
    <w:rsid w:val="008D3188"/>
    <w:rsid w:val="008D3898"/>
    <w:rsid w:val="008D3C43"/>
    <w:rsid w:val="008D4420"/>
    <w:rsid w:val="008D443A"/>
    <w:rsid w:val="008D46DB"/>
    <w:rsid w:val="008D6BC8"/>
    <w:rsid w:val="008D7B6C"/>
    <w:rsid w:val="008E018E"/>
    <w:rsid w:val="008E04B5"/>
    <w:rsid w:val="008E3ACA"/>
    <w:rsid w:val="008E3CD8"/>
    <w:rsid w:val="008E428D"/>
    <w:rsid w:val="008E4807"/>
    <w:rsid w:val="008E53BD"/>
    <w:rsid w:val="008E587B"/>
    <w:rsid w:val="008E59B7"/>
    <w:rsid w:val="008E6567"/>
    <w:rsid w:val="008E65E2"/>
    <w:rsid w:val="008E6765"/>
    <w:rsid w:val="008E6F4A"/>
    <w:rsid w:val="008E796D"/>
    <w:rsid w:val="008E7CB8"/>
    <w:rsid w:val="008F0477"/>
    <w:rsid w:val="008F0EE7"/>
    <w:rsid w:val="008F1AA1"/>
    <w:rsid w:val="008F1E99"/>
    <w:rsid w:val="008F25D8"/>
    <w:rsid w:val="008F2864"/>
    <w:rsid w:val="008F58E7"/>
    <w:rsid w:val="008F6D3C"/>
    <w:rsid w:val="00900CD7"/>
    <w:rsid w:val="00900F8D"/>
    <w:rsid w:val="0090244E"/>
    <w:rsid w:val="0090289F"/>
    <w:rsid w:val="00902E11"/>
    <w:rsid w:val="00903518"/>
    <w:rsid w:val="00903850"/>
    <w:rsid w:val="00903BF6"/>
    <w:rsid w:val="00903BFA"/>
    <w:rsid w:val="009040AB"/>
    <w:rsid w:val="00904C20"/>
    <w:rsid w:val="009053DE"/>
    <w:rsid w:val="00910584"/>
    <w:rsid w:val="00911139"/>
    <w:rsid w:val="009112AC"/>
    <w:rsid w:val="00911368"/>
    <w:rsid w:val="009115CC"/>
    <w:rsid w:val="00911C0B"/>
    <w:rsid w:val="00913786"/>
    <w:rsid w:val="009142B1"/>
    <w:rsid w:val="0091724E"/>
    <w:rsid w:val="009174E8"/>
    <w:rsid w:val="00921D5E"/>
    <w:rsid w:val="00921F00"/>
    <w:rsid w:val="009224EF"/>
    <w:rsid w:val="009225DB"/>
    <w:rsid w:val="0092311C"/>
    <w:rsid w:val="009238E3"/>
    <w:rsid w:val="00923A2A"/>
    <w:rsid w:val="00923EEE"/>
    <w:rsid w:val="00925BF9"/>
    <w:rsid w:val="00927CE5"/>
    <w:rsid w:val="00930AD0"/>
    <w:rsid w:val="00931D63"/>
    <w:rsid w:val="0093299B"/>
    <w:rsid w:val="00933511"/>
    <w:rsid w:val="00934056"/>
    <w:rsid w:val="00934D36"/>
    <w:rsid w:val="00935E03"/>
    <w:rsid w:val="0093707D"/>
    <w:rsid w:val="00937E61"/>
    <w:rsid w:val="00940100"/>
    <w:rsid w:val="009415D7"/>
    <w:rsid w:val="0094253A"/>
    <w:rsid w:val="009428C3"/>
    <w:rsid w:val="00943154"/>
    <w:rsid w:val="009438E6"/>
    <w:rsid w:val="00943A17"/>
    <w:rsid w:val="00944065"/>
    <w:rsid w:val="00944AE0"/>
    <w:rsid w:val="00944D31"/>
    <w:rsid w:val="009451C6"/>
    <w:rsid w:val="00945695"/>
    <w:rsid w:val="00945B90"/>
    <w:rsid w:val="00945C61"/>
    <w:rsid w:val="00945D09"/>
    <w:rsid w:val="00946225"/>
    <w:rsid w:val="009463B1"/>
    <w:rsid w:val="00946AD8"/>
    <w:rsid w:val="00950750"/>
    <w:rsid w:val="009518DD"/>
    <w:rsid w:val="009524D2"/>
    <w:rsid w:val="00952501"/>
    <w:rsid w:val="00953066"/>
    <w:rsid w:val="00954E50"/>
    <w:rsid w:val="009554D7"/>
    <w:rsid w:val="0095571D"/>
    <w:rsid w:val="0095598C"/>
    <w:rsid w:val="009560A7"/>
    <w:rsid w:val="0095696D"/>
    <w:rsid w:val="00956DF7"/>
    <w:rsid w:val="009611A6"/>
    <w:rsid w:val="009614EA"/>
    <w:rsid w:val="009617B8"/>
    <w:rsid w:val="00962609"/>
    <w:rsid w:val="00962BE8"/>
    <w:rsid w:val="00964273"/>
    <w:rsid w:val="009646BE"/>
    <w:rsid w:val="009649B1"/>
    <w:rsid w:val="00964D0D"/>
    <w:rsid w:val="0096529F"/>
    <w:rsid w:val="00965AFA"/>
    <w:rsid w:val="00965C59"/>
    <w:rsid w:val="00965F6E"/>
    <w:rsid w:val="00970923"/>
    <w:rsid w:val="00970B6D"/>
    <w:rsid w:val="0097146C"/>
    <w:rsid w:val="00972275"/>
    <w:rsid w:val="0097296F"/>
    <w:rsid w:val="00972A79"/>
    <w:rsid w:val="00972C25"/>
    <w:rsid w:val="009739C2"/>
    <w:rsid w:val="0097445D"/>
    <w:rsid w:val="00974E48"/>
    <w:rsid w:val="0097522A"/>
    <w:rsid w:val="0097574E"/>
    <w:rsid w:val="00975799"/>
    <w:rsid w:val="00976DC4"/>
    <w:rsid w:val="00976E74"/>
    <w:rsid w:val="009816A9"/>
    <w:rsid w:val="009856E4"/>
    <w:rsid w:val="00987786"/>
    <w:rsid w:val="00987D7C"/>
    <w:rsid w:val="00990E71"/>
    <w:rsid w:val="00991CE5"/>
    <w:rsid w:val="00991D00"/>
    <w:rsid w:val="00991D77"/>
    <w:rsid w:val="00992A0E"/>
    <w:rsid w:val="009936BA"/>
    <w:rsid w:val="00993B2D"/>
    <w:rsid w:val="00995437"/>
    <w:rsid w:val="0099570E"/>
    <w:rsid w:val="009965DF"/>
    <w:rsid w:val="009A00AF"/>
    <w:rsid w:val="009A1ED2"/>
    <w:rsid w:val="009A2AB4"/>
    <w:rsid w:val="009A30AB"/>
    <w:rsid w:val="009A36F8"/>
    <w:rsid w:val="009A3705"/>
    <w:rsid w:val="009A3FD5"/>
    <w:rsid w:val="009A5442"/>
    <w:rsid w:val="009A5E16"/>
    <w:rsid w:val="009A690B"/>
    <w:rsid w:val="009A7D74"/>
    <w:rsid w:val="009B019D"/>
    <w:rsid w:val="009B05BF"/>
    <w:rsid w:val="009B0AF9"/>
    <w:rsid w:val="009B1B0F"/>
    <w:rsid w:val="009B21EE"/>
    <w:rsid w:val="009B2441"/>
    <w:rsid w:val="009B2D96"/>
    <w:rsid w:val="009B3EA0"/>
    <w:rsid w:val="009B449E"/>
    <w:rsid w:val="009B4B28"/>
    <w:rsid w:val="009B4BBE"/>
    <w:rsid w:val="009B4CAE"/>
    <w:rsid w:val="009B5B85"/>
    <w:rsid w:val="009B6F9F"/>
    <w:rsid w:val="009B73C9"/>
    <w:rsid w:val="009C0701"/>
    <w:rsid w:val="009C0723"/>
    <w:rsid w:val="009C213B"/>
    <w:rsid w:val="009C2D66"/>
    <w:rsid w:val="009C3335"/>
    <w:rsid w:val="009C3641"/>
    <w:rsid w:val="009C52A3"/>
    <w:rsid w:val="009C6960"/>
    <w:rsid w:val="009D1527"/>
    <w:rsid w:val="009D17AC"/>
    <w:rsid w:val="009D3355"/>
    <w:rsid w:val="009D3D29"/>
    <w:rsid w:val="009D5338"/>
    <w:rsid w:val="009D5AD7"/>
    <w:rsid w:val="009D647B"/>
    <w:rsid w:val="009D7003"/>
    <w:rsid w:val="009D71F2"/>
    <w:rsid w:val="009D7AC7"/>
    <w:rsid w:val="009E0029"/>
    <w:rsid w:val="009E1CE8"/>
    <w:rsid w:val="009E27DC"/>
    <w:rsid w:val="009E2E5A"/>
    <w:rsid w:val="009E4734"/>
    <w:rsid w:val="009E5AF0"/>
    <w:rsid w:val="009E6465"/>
    <w:rsid w:val="009F1C2C"/>
    <w:rsid w:val="009F21F1"/>
    <w:rsid w:val="009F3175"/>
    <w:rsid w:val="009F3EC0"/>
    <w:rsid w:val="009F49E9"/>
    <w:rsid w:val="009F5C9E"/>
    <w:rsid w:val="009F69DC"/>
    <w:rsid w:val="009F6F2E"/>
    <w:rsid w:val="009F7908"/>
    <w:rsid w:val="00A00181"/>
    <w:rsid w:val="00A00586"/>
    <w:rsid w:val="00A00FEB"/>
    <w:rsid w:val="00A02267"/>
    <w:rsid w:val="00A03FAB"/>
    <w:rsid w:val="00A04904"/>
    <w:rsid w:val="00A05DDF"/>
    <w:rsid w:val="00A06571"/>
    <w:rsid w:val="00A06E96"/>
    <w:rsid w:val="00A07A60"/>
    <w:rsid w:val="00A1134E"/>
    <w:rsid w:val="00A11E25"/>
    <w:rsid w:val="00A12227"/>
    <w:rsid w:val="00A13F57"/>
    <w:rsid w:val="00A14065"/>
    <w:rsid w:val="00A14FB7"/>
    <w:rsid w:val="00A15467"/>
    <w:rsid w:val="00A15CED"/>
    <w:rsid w:val="00A15E38"/>
    <w:rsid w:val="00A15EF5"/>
    <w:rsid w:val="00A16D10"/>
    <w:rsid w:val="00A20631"/>
    <w:rsid w:val="00A2131E"/>
    <w:rsid w:val="00A213FE"/>
    <w:rsid w:val="00A2257A"/>
    <w:rsid w:val="00A24758"/>
    <w:rsid w:val="00A24B17"/>
    <w:rsid w:val="00A253B2"/>
    <w:rsid w:val="00A257F0"/>
    <w:rsid w:val="00A25C91"/>
    <w:rsid w:val="00A26F95"/>
    <w:rsid w:val="00A2708D"/>
    <w:rsid w:val="00A27CC8"/>
    <w:rsid w:val="00A27D8E"/>
    <w:rsid w:val="00A30525"/>
    <w:rsid w:val="00A31123"/>
    <w:rsid w:val="00A32357"/>
    <w:rsid w:val="00A32D0C"/>
    <w:rsid w:val="00A33B8D"/>
    <w:rsid w:val="00A341F0"/>
    <w:rsid w:val="00A35A33"/>
    <w:rsid w:val="00A37BD6"/>
    <w:rsid w:val="00A37CB9"/>
    <w:rsid w:val="00A40258"/>
    <w:rsid w:val="00A40D8A"/>
    <w:rsid w:val="00A414B9"/>
    <w:rsid w:val="00A4233C"/>
    <w:rsid w:val="00A42A84"/>
    <w:rsid w:val="00A44631"/>
    <w:rsid w:val="00A45512"/>
    <w:rsid w:val="00A45605"/>
    <w:rsid w:val="00A46419"/>
    <w:rsid w:val="00A46C6A"/>
    <w:rsid w:val="00A46D22"/>
    <w:rsid w:val="00A501FF"/>
    <w:rsid w:val="00A50648"/>
    <w:rsid w:val="00A50DE9"/>
    <w:rsid w:val="00A51E5F"/>
    <w:rsid w:val="00A52739"/>
    <w:rsid w:val="00A5406C"/>
    <w:rsid w:val="00A5407A"/>
    <w:rsid w:val="00A5419F"/>
    <w:rsid w:val="00A54248"/>
    <w:rsid w:val="00A55039"/>
    <w:rsid w:val="00A55118"/>
    <w:rsid w:val="00A57533"/>
    <w:rsid w:val="00A60660"/>
    <w:rsid w:val="00A61B9D"/>
    <w:rsid w:val="00A61D1F"/>
    <w:rsid w:val="00A62097"/>
    <w:rsid w:val="00A62B85"/>
    <w:rsid w:val="00A63B5D"/>
    <w:rsid w:val="00A64254"/>
    <w:rsid w:val="00A6483B"/>
    <w:rsid w:val="00A64CF2"/>
    <w:rsid w:val="00A6568E"/>
    <w:rsid w:val="00A65C94"/>
    <w:rsid w:val="00A65E12"/>
    <w:rsid w:val="00A65F55"/>
    <w:rsid w:val="00A7131A"/>
    <w:rsid w:val="00A731B7"/>
    <w:rsid w:val="00A73CAE"/>
    <w:rsid w:val="00A741FE"/>
    <w:rsid w:val="00A74725"/>
    <w:rsid w:val="00A75E39"/>
    <w:rsid w:val="00A7638C"/>
    <w:rsid w:val="00A774C4"/>
    <w:rsid w:val="00A778F2"/>
    <w:rsid w:val="00A779BB"/>
    <w:rsid w:val="00A77CE7"/>
    <w:rsid w:val="00A77F3E"/>
    <w:rsid w:val="00A80C3F"/>
    <w:rsid w:val="00A81155"/>
    <w:rsid w:val="00A81A69"/>
    <w:rsid w:val="00A81C48"/>
    <w:rsid w:val="00A81ED5"/>
    <w:rsid w:val="00A8223A"/>
    <w:rsid w:val="00A82587"/>
    <w:rsid w:val="00A83B09"/>
    <w:rsid w:val="00A84DD5"/>
    <w:rsid w:val="00A853DD"/>
    <w:rsid w:val="00A866B2"/>
    <w:rsid w:val="00A866B9"/>
    <w:rsid w:val="00A86848"/>
    <w:rsid w:val="00A8684F"/>
    <w:rsid w:val="00A869B7"/>
    <w:rsid w:val="00A86BD6"/>
    <w:rsid w:val="00A86EFE"/>
    <w:rsid w:val="00A87054"/>
    <w:rsid w:val="00A90843"/>
    <w:rsid w:val="00A9150A"/>
    <w:rsid w:val="00A91BE9"/>
    <w:rsid w:val="00A932EA"/>
    <w:rsid w:val="00A93DC8"/>
    <w:rsid w:val="00A94107"/>
    <w:rsid w:val="00A9510A"/>
    <w:rsid w:val="00A96626"/>
    <w:rsid w:val="00A9709A"/>
    <w:rsid w:val="00A9720A"/>
    <w:rsid w:val="00A97210"/>
    <w:rsid w:val="00A97496"/>
    <w:rsid w:val="00A976B4"/>
    <w:rsid w:val="00A97A37"/>
    <w:rsid w:val="00AA0E75"/>
    <w:rsid w:val="00AA14F5"/>
    <w:rsid w:val="00AA2661"/>
    <w:rsid w:val="00AA2997"/>
    <w:rsid w:val="00AA3A5C"/>
    <w:rsid w:val="00AA3E6E"/>
    <w:rsid w:val="00AA4297"/>
    <w:rsid w:val="00AA49C5"/>
    <w:rsid w:val="00AA55F8"/>
    <w:rsid w:val="00AA59B2"/>
    <w:rsid w:val="00AA5A5E"/>
    <w:rsid w:val="00AA64F4"/>
    <w:rsid w:val="00AA6CEA"/>
    <w:rsid w:val="00AA6D4C"/>
    <w:rsid w:val="00AA779B"/>
    <w:rsid w:val="00AB2539"/>
    <w:rsid w:val="00AB2E34"/>
    <w:rsid w:val="00AB409D"/>
    <w:rsid w:val="00AB51F4"/>
    <w:rsid w:val="00AB618C"/>
    <w:rsid w:val="00AB6671"/>
    <w:rsid w:val="00AB720C"/>
    <w:rsid w:val="00AB7540"/>
    <w:rsid w:val="00AB7C76"/>
    <w:rsid w:val="00AC0360"/>
    <w:rsid w:val="00AC092A"/>
    <w:rsid w:val="00AC0EA8"/>
    <w:rsid w:val="00AC10E7"/>
    <w:rsid w:val="00AC1136"/>
    <w:rsid w:val="00AC15AA"/>
    <w:rsid w:val="00AC1A36"/>
    <w:rsid w:val="00AC36CA"/>
    <w:rsid w:val="00AC4124"/>
    <w:rsid w:val="00AC55CE"/>
    <w:rsid w:val="00AC773D"/>
    <w:rsid w:val="00AC77FD"/>
    <w:rsid w:val="00AD0736"/>
    <w:rsid w:val="00AD172A"/>
    <w:rsid w:val="00AD2221"/>
    <w:rsid w:val="00AD2617"/>
    <w:rsid w:val="00AD3B9B"/>
    <w:rsid w:val="00AD3D1A"/>
    <w:rsid w:val="00AD4626"/>
    <w:rsid w:val="00AD4826"/>
    <w:rsid w:val="00AD59C2"/>
    <w:rsid w:val="00AD5AB4"/>
    <w:rsid w:val="00AD5BF9"/>
    <w:rsid w:val="00AE1659"/>
    <w:rsid w:val="00AE1D2F"/>
    <w:rsid w:val="00AE2DEB"/>
    <w:rsid w:val="00AE5B3F"/>
    <w:rsid w:val="00AE5E88"/>
    <w:rsid w:val="00AE6C2E"/>
    <w:rsid w:val="00AF0925"/>
    <w:rsid w:val="00AF0B92"/>
    <w:rsid w:val="00AF0ED7"/>
    <w:rsid w:val="00AF1660"/>
    <w:rsid w:val="00AF1869"/>
    <w:rsid w:val="00AF26CF"/>
    <w:rsid w:val="00AF2EA4"/>
    <w:rsid w:val="00AF3D55"/>
    <w:rsid w:val="00AF433C"/>
    <w:rsid w:val="00AF4908"/>
    <w:rsid w:val="00AF4C53"/>
    <w:rsid w:val="00AF5CAC"/>
    <w:rsid w:val="00AF6931"/>
    <w:rsid w:val="00AF6BF2"/>
    <w:rsid w:val="00AF75CC"/>
    <w:rsid w:val="00B020EF"/>
    <w:rsid w:val="00B025EB"/>
    <w:rsid w:val="00B03630"/>
    <w:rsid w:val="00B04406"/>
    <w:rsid w:val="00B05DC5"/>
    <w:rsid w:val="00B067C5"/>
    <w:rsid w:val="00B07BC7"/>
    <w:rsid w:val="00B109A1"/>
    <w:rsid w:val="00B10DDF"/>
    <w:rsid w:val="00B11D9F"/>
    <w:rsid w:val="00B1263A"/>
    <w:rsid w:val="00B1277C"/>
    <w:rsid w:val="00B12D8F"/>
    <w:rsid w:val="00B1326B"/>
    <w:rsid w:val="00B133ED"/>
    <w:rsid w:val="00B134F2"/>
    <w:rsid w:val="00B13F21"/>
    <w:rsid w:val="00B144D9"/>
    <w:rsid w:val="00B149AB"/>
    <w:rsid w:val="00B15108"/>
    <w:rsid w:val="00B1542D"/>
    <w:rsid w:val="00B15A4B"/>
    <w:rsid w:val="00B15E9F"/>
    <w:rsid w:val="00B170CC"/>
    <w:rsid w:val="00B20361"/>
    <w:rsid w:val="00B206A9"/>
    <w:rsid w:val="00B214F8"/>
    <w:rsid w:val="00B2194B"/>
    <w:rsid w:val="00B21B5A"/>
    <w:rsid w:val="00B21BDA"/>
    <w:rsid w:val="00B21EBC"/>
    <w:rsid w:val="00B21F20"/>
    <w:rsid w:val="00B22C3C"/>
    <w:rsid w:val="00B2316E"/>
    <w:rsid w:val="00B24222"/>
    <w:rsid w:val="00B246E5"/>
    <w:rsid w:val="00B24C8E"/>
    <w:rsid w:val="00B24DEB"/>
    <w:rsid w:val="00B24EC1"/>
    <w:rsid w:val="00B25F02"/>
    <w:rsid w:val="00B26320"/>
    <w:rsid w:val="00B26CF3"/>
    <w:rsid w:val="00B27C1C"/>
    <w:rsid w:val="00B30143"/>
    <w:rsid w:val="00B3085D"/>
    <w:rsid w:val="00B31989"/>
    <w:rsid w:val="00B32095"/>
    <w:rsid w:val="00B32145"/>
    <w:rsid w:val="00B33476"/>
    <w:rsid w:val="00B33DE4"/>
    <w:rsid w:val="00B34C92"/>
    <w:rsid w:val="00B35C69"/>
    <w:rsid w:val="00B36C92"/>
    <w:rsid w:val="00B37384"/>
    <w:rsid w:val="00B402DD"/>
    <w:rsid w:val="00B4117D"/>
    <w:rsid w:val="00B41467"/>
    <w:rsid w:val="00B41F3A"/>
    <w:rsid w:val="00B420FC"/>
    <w:rsid w:val="00B429BD"/>
    <w:rsid w:val="00B42B29"/>
    <w:rsid w:val="00B42E5E"/>
    <w:rsid w:val="00B4318A"/>
    <w:rsid w:val="00B445C3"/>
    <w:rsid w:val="00B45B7A"/>
    <w:rsid w:val="00B46788"/>
    <w:rsid w:val="00B47271"/>
    <w:rsid w:val="00B47A50"/>
    <w:rsid w:val="00B51D15"/>
    <w:rsid w:val="00B52071"/>
    <w:rsid w:val="00B52271"/>
    <w:rsid w:val="00B54D77"/>
    <w:rsid w:val="00B54D9E"/>
    <w:rsid w:val="00B54E04"/>
    <w:rsid w:val="00B55C73"/>
    <w:rsid w:val="00B56610"/>
    <w:rsid w:val="00B56BBB"/>
    <w:rsid w:val="00B56F3A"/>
    <w:rsid w:val="00B57383"/>
    <w:rsid w:val="00B60910"/>
    <w:rsid w:val="00B6119F"/>
    <w:rsid w:val="00B61EED"/>
    <w:rsid w:val="00B62637"/>
    <w:rsid w:val="00B62BD5"/>
    <w:rsid w:val="00B6380B"/>
    <w:rsid w:val="00B638E4"/>
    <w:rsid w:val="00B63F12"/>
    <w:rsid w:val="00B64DBC"/>
    <w:rsid w:val="00B64DD8"/>
    <w:rsid w:val="00B6633A"/>
    <w:rsid w:val="00B66784"/>
    <w:rsid w:val="00B6687F"/>
    <w:rsid w:val="00B674A1"/>
    <w:rsid w:val="00B675FB"/>
    <w:rsid w:val="00B67BED"/>
    <w:rsid w:val="00B70471"/>
    <w:rsid w:val="00B705D0"/>
    <w:rsid w:val="00B70E1B"/>
    <w:rsid w:val="00B70EC9"/>
    <w:rsid w:val="00B70FF8"/>
    <w:rsid w:val="00B714DF"/>
    <w:rsid w:val="00B72809"/>
    <w:rsid w:val="00B7313A"/>
    <w:rsid w:val="00B73D43"/>
    <w:rsid w:val="00B7452D"/>
    <w:rsid w:val="00B7461D"/>
    <w:rsid w:val="00B74644"/>
    <w:rsid w:val="00B75992"/>
    <w:rsid w:val="00B761DE"/>
    <w:rsid w:val="00B76799"/>
    <w:rsid w:val="00B76A3A"/>
    <w:rsid w:val="00B771C0"/>
    <w:rsid w:val="00B8094F"/>
    <w:rsid w:val="00B81546"/>
    <w:rsid w:val="00B8203B"/>
    <w:rsid w:val="00B828AB"/>
    <w:rsid w:val="00B83C10"/>
    <w:rsid w:val="00B84011"/>
    <w:rsid w:val="00B84616"/>
    <w:rsid w:val="00B847DC"/>
    <w:rsid w:val="00B84B85"/>
    <w:rsid w:val="00B8530E"/>
    <w:rsid w:val="00B8556E"/>
    <w:rsid w:val="00B85C7E"/>
    <w:rsid w:val="00B86DF7"/>
    <w:rsid w:val="00B876BA"/>
    <w:rsid w:val="00B87C76"/>
    <w:rsid w:val="00B9010B"/>
    <w:rsid w:val="00B9179B"/>
    <w:rsid w:val="00B91F1B"/>
    <w:rsid w:val="00B91FE0"/>
    <w:rsid w:val="00B92030"/>
    <w:rsid w:val="00B92395"/>
    <w:rsid w:val="00B92AA0"/>
    <w:rsid w:val="00B93500"/>
    <w:rsid w:val="00B93649"/>
    <w:rsid w:val="00B94317"/>
    <w:rsid w:val="00B95479"/>
    <w:rsid w:val="00B96702"/>
    <w:rsid w:val="00B971CA"/>
    <w:rsid w:val="00B97A02"/>
    <w:rsid w:val="00BA153E"/>
    <w:rsid w:val="00BA17E0"/>
    <w:rsid w:val="00BA19FD"/>
    <w:rsid w:val="00BA2050"/>
    <w:rsid w:val="00BA2B9A"/>
    <w:rsid w:val="00BA333A"/>
    <w:rsid w:val="00BA4239"/>
    <w:rsid w:val="00BA498F"/>
    <w:rsid w:val="00BA50FC"/>
    <w:rsid w:val="00BA5DA4"/>
    <w:rsid w:val="00BA68AF"/>
    <w:rsid w:val="00BA7257"/>
    <w:rsid w:val="00BA7909"/>
    <w:rsid w:val="00BA79C6"/>
    <w:rsid w:val="00BB0C90"/>
    <w:rsid w:val="00BB18A5"/>
    <w:rsid w:val="00BB1ACD"/>
    <w:rsid w:val="00BB21B0"/>
    <w:rsid w:val="00BB288B"/>
    <w:rsid w:val="00BB375B"/>
    <w:rsid w:val="00BB380C"/>
    <w:rsid w:val="00BB3D86"/>
    <w:rsid w:val="00BB3F41"/>
    <w:rsid w:val="00BB5129"/>
    <w:rsid w:val="00BB54DB"/>
    <w:rsid w:val="00BB55EA"/>
    <w:rsid w:val="00BB5F23"/>
    <w:rsid w:val="00BB786B"/>
    <w:rsid w:val="00BC0421"/>
    <w:rsid w:val="00BC0B11"/>
    <w:rsid w:val="00BC2752"/>
    <w:rsid w:val="00BC2D80"/>
    <w:rsid w:val="00BC3443"/>
    <w:rsid w:val="00BC3A8F"/>
    <w:rsid w:val="00BC40F4"/>
    <w:rsid w:val="00BC52DA"/>
    <w:rsid w:val="00BC65A5"/>
    <w:rsid w:val="00BC7648"/>
    <w:rsid w:val="00BD0BD3"/>
    <w:rsid w:val="00BD0C84"/>
    <w:rsid w:val="00BD14F4"/>
    <w:rsid w:val="00BD18CF"/>
    <w:rsid w:val="00BD34B3"/>
    <w:rsid w:val="00BD447F"/>
    <w:rsid w:val="00BD45CE"/>
    <w:rsid w:val="00BD4F54"/>
    <w:rsid w:val="00BD4FB8"/>
    <w:rsid w:val="00BD5158"/>
    <w:rsid w:val="00BD5551"/>
    <w:rsid w:val="00BD63B3"/>
    <w:rsid w:val="00BD654F"/>
    <w:rsid w:val="00BD6C4C"/>
    <w:rsid w:val="00BD7418"/>
    <w:rsid w:val="00BD758D"/>
    <w:rsid w:val="00BE0E22"/>
    <w:rsid w:val="00BE0ECF"/>
    <w:rsid w:val="00BE1857"/>
    <w:rsid w:val="00BE1B82"/>
    <w:rsid w:val="00BE2938"/>
    <w:rsid w:val="00BE4FF3"/>
    <w:rsid w:val="00BE5369"/>
    <w:rsid w:val="00BE603D"/>
    <w:rsid w:val="00BE6417"/>
    <w:rsid w:val="00BE65D1"/>
    <w:rsid w:val="00BE713E"/>
    <w:rsid w:val="00BE7D47"/>
    <w:rsid w:val="00BF01B8"/>
    <w:rsid w:val="00BF1472"/>
    <w:rsid w:val="00BF1DDD"/>
    <w:rsid w:val="00BF2719"/>
    <w:rsid w:val="00BF3261"/>
    <w:rsid w:val="00BF5024"/>
    <w:rsid w:val="00BF5214"/>
    <w:rsid w:val="00BF574E"/>
    <w:rsid w:val="00BF5BDC"/>
    <w:rsid w:val="00BF6714"/>
    <w:rsid w:val="00BF705D"/>
    <w:rsid w:val="00BF75A9"/>
    <w:rsid w:val="00C0012B"/>
    <w:rsid w:val="00C003D9"/>
    <w:rsid w:val="00C0337B"/>
    <w:rsid w:val="00C033A8"/>
    <w:rsid w:val="00C047EC"/>
    <w:rsid w:val="00C066AB"/>
    <w:rsid w:val="00C06929"/>
    <w:rsid w:val="00C06970"/>
    <w:rsid w:val="00C07567"/>
    <w:rsid w:val="00C07792"/>
    <w:rsid w:val="00C1110F"/>
    <w:rsid w:val="00C11589"/>
    <w:rsid w:val="00C1169B"/>
    <w:rsid w:val="00C118DB"/>
    <w:rsid w:val="00C1288E"/>
    <w:rsid w:val="00C1291D"/>
    <w:rsid w:val="00C12D51"/>
    <w:rsid w:val="00C12E4F"/>
    <w:rsid w:val="00C12ED7"/>
    <w:rsid w:val="00C1370D"/>
    <w:rsid w:val="00C139E7"/>
    <w:rsid w:val="00C13CDB"/>
    <w:rsid w:val="00C1456C"/>
    <w:rsid w:val="00C14CEC"/>
    <w:rsid w:val="00C16D68"/>
    <w:rsid w:val="00C1738E"/>
    <w:rsid w:val="00C17754"/>
    <w:rsid w:val="00C17C2B"/>
    <w:rsid w:val="00C17E56"/>
    <w:rsid w:val="00C20061"/>
    <w:rsid w:val="00C206D9"/>
    <w:rsid w:val="00C21410"/>
    <w:rsid w:val="00C21696"/>
    <w:rsid w:val="00C21B6B"/>
    <w:rsid w:val="00C21CEA"/>
    <w:rsid w:val="00C22340"/>
    <w:rsid w:val="00C22E8A"/>
    <w:rsid w:val="00C22F34"/>
    <w:rsid w:val="00C23C97"/>
    <w:rsid w:val="00C24D1D"/>
    <w:rsid w:val="00C252DA"/>
    <w:rsid w:val="00C303B6"/>
    <w:rsid w:val="00C3051B"/>
    <w:rsid w:val="00C30819"/>
    <w:rsid w:val="00C30932"/>
    <w:rsid w:val="00C318D5"/>
    <w:rsid w:val="00C31DD3"/>
    <w:rsid w:val="00C32400"/>
    <w:rsid w:val="00C33272"/>
    <w:rsid w:val="00C33580"/>
    <w:rsid w:val="00C33606"/>
    <w:rsid w:val="00C3382A"/>
    <w:rsid w:val="00C33B41"/>
    <w:rsid w:val="00C34899"/>
    <w:rsid w:val="00C34FCC"/>
    <w:rsid w:val="00C3541A"/>
    <w:rsid w:val="00C35B16"/>
    <w:rsid w:val="00C367EE"/>
    <w:rsid w:val="00C36874"/>
    <w:rsid w:val="00C36AC8"/>
    <w:rsid w:val="00C36F78"/>
    <w:rsid w:val="00C402B0"/>
    <w:rsid w:val="00C41F32"/>
    <w:rsid w:val="00C420E5"/>
    <w:rsid w:val="00C440EE"/>
    <w:rsid w:val="00C441AD"/>
    <w:rsid w:val="00C4516D"/>
    <w:rsid w:val="00C45A03"/>
    <w:rsid w:val="00C45A0A"/>
    <w:rsid w:val="00C45F66"/>
    <w:rsid w:val="00C464E5"/>
    <w:rsid w:val="00C46C7D"/>
    <w:rsid w:val="00C46E57"/>
    <w:rsid w:val="00C46E91"/>
    <w:rsid w:val="00C51168"/>
    <w:rsid w:val="00C5156E"/>
    <w:rsid w:val="00C5177F"/>
    <w:rsid w:val="00C51C49"/>
    <w:rsid w:val="00C52916"/>
    <w:rsid w:val="00C54EC6"/>
    <w:rsid w:val="00C5627C"/>
    <w:rsid w:val="00C56CF3"/>
    <w:rsid w:val="00C57493"/>
    <w:rsid w:val="00C577DD"/>
    <w:rsid w:val="00C605C9"/>
    <w:rsid w:val="00C60756"/>
    <w:rsid w:val="00C60F6E"/>
    <w:rsid w:val="00C610E7"/>
    <w:rsid w:val="00C612E8"/>
    <w:rsid w:val="00C621AD"/>
    <w:rsid w:val="00C62DED"/>
    <w:rsid w:val="00C63612"/>
    <w:rsid w:val="00C638E4"/>
    <w:rsid w:val="00C63930"/>
    <w:rsid w:val="00C63993"/>
    <w:rsid w:val="00C63C58"/>
    <w:rsid w:val="00C6606E"/>
    <w:rsid w:val="00C6743F"/>
    <w:rsid w:val="00C7032C"/>
    <w:rsid w:val="00C707A3"/>
    <w:rsid w:val="00C72EC9"/>
    <w:rsid w:val="00C72FC8"/>
    <w:rsid w:val="00C735FA"/>
    <w:rsid w:val="00C73DEA"/>
    <w:rsid w:val="00C74333"/>
    <w:rsid w:val="00C743F1"/>
    <w:rsid w:val="00C745D4"/>
    <w:rsid w:val="00C74964"/>
    <w:rsid w:val="00C74BB5"/>
    <w:rsid w:val="00C7531B"/>
    <w:rsid w:val="00C75415"/>
    <w:rsid w:val="00C7601B"/>
    <w:rsid w:val="00C766E0"/>
    <w:rsid w:val="00C76CFA"/>
    <w:rsid w:val="00C76DB8"/>
    <w:rsid w:val="00C8018C"/>
    <w:rsid w:val="00C806B8"/>
    <w:rsid w:val="00C808C5"/>
    <w:rsid w:val="00C8258B"/>
    <w:rsid w:val="00C8322B"/>
    <w:rsid w:val="00C83A41"/>
    <w:rsid w:val="00C845B8"/>
    <w:rsid w:val="00C84828"/>
    <w:rsid w:val="00C84B51"/>
    <w:rsid w:val="00C84CDD"/>
    <w:rsid w:val="00C85596"/>
    <w:rsid w:val="00C868D9"/>
    <w:rsid w:val="00C86BBD"/>
    <w:rsid w:val="00C870E2"/>
    <w:rsid w:val="00C87427"/>
    <w:rsid w:val="00C91E3A"/>
    <w:rsid w:val="00C921DD"/>
    <w:rsid w:val="00C92888"/>
    <w:rsid w:val="00C93ECD"/>
    <w:rsid w:val="00C9576F"/>
    <w:rsid w:val="00C96FB8"/>
    <w:rsid w:val="00C972C6"/>
    <w:rsid w:val="00CA0B13"/>
    <w:rsid w:val="00CA1D02"/>
    <w:rsid w:val="00CA2B84"/>
    <w:rsid w:val="00CA32F0"/>
    <w:rsid w:val="00CA4C23"/>
    <w:rsid w:val="00CA4CDF"/>
    <w:rsid w:val="00CA5CAA"/>
    <w:rsid w:val="00CA5E84"/>
    <w:rsid w:val="00CA642F"/>
    <w:rsid w:val="00CA6E8E"/>
    <w:rsid w:val="00CA71AB"/>
    <w:rsid w:val="00CA7ACA"/>
    <w:rsid w:val="00CB009C"/>
    <w:rsid w:val="00CB101C"/>
    <w:rsid w:val="00CB11DF"/>
    <w:rsid w:val="00CB1410"/>
    <w:rsid w:val="00CB23ED"/>
    <w:rsid w:val="00CB4DEE"/>
    <w:rsid w:val="00CB4EF0"/>
    <w:rsid w:val="00CB5DF3"/>
    <w:rsid w:val="00CB648E"/>
    <w:rsid w:val="00CB7286"/>
    <w:rsid w:val="00CB78B1"/>
    <w:rsid w:val="00CC035B"/>
    <w:rsid w:val="00CC05F3"/>
    <w:rsid w:val="00CC0845"/>
    <w:rsid w:val="00CC2612"/>
    <w:rsid w:val="00CC32DD"/>
    <w:rsid w:val="00CC3945"/>
    <w:rsid w:val="00CC39B7"/>
    <w:rsid w:val="00CC3BD8"/>
    <w:rsid w:val="00CC3E31"/>
    <w:rsid w:val="00CC438E"/>
    <w:rsid w:val="00CC55D1"/>
    <w:rsid w:val="00CC5D21"/>
    <w:rsid w:val="00CC64EA"/>
    <w:rsid w:val="00CC702A"/>
    <w:rsid w:val="00CC7137"/>
    <w:rsid w:val="00CC79A0"/>
    <w:rsid w:val="00CD0635"/>
    <w:rsid w:val="00CD24A6"/>
    <w:rsid w:val="00CD3BD9"/>
    <w:rsid w:val="00CD4922"/>
    <w:rsid w:val="00CD5394"/>
    <w:rsid w:val="00CD543B"/>
    <w:rsid w:val="00CD5847"/>
    <w:rsid w:val="00CD6183"/>
    <w:rsid w:val="00CE01D8"/>
    <w:rsid w:val="00CE1F0A"/>
    <w:rsid w:val="00CE30F9"/>
    <w:rsid w:val="00CE507D"/>
    <w:rsid w:val="00CE50D7"/>
    <w:rsid w:val="00CE6209"/>
    <w:rsid w:val="00CE6979"/>
    <w:rsid w:val="00CE6B36"/>
    <w:rsid w:val="00CE70A0"/>
    <w:rsid w:val="00CF0E59"/>
    <w:rsid w:val="00CF1775"/>
    <w:rsid w:val="00CF1EE0"/>
    <w:rsid w:val="00CF265D"/>
    <w:rsid w:val="00CF287F"/>
    <w:rsid w:val="00CF3669"/>
    <w:rsid w:val="00CF3796"/>
    <w:rsid w:val="00CF45E1"/>
    <w:rsid w:val="00CF488E"/>
    <w:rsid w:val="00CF4EB1"/>
    <w:rsid w:val="00CF6008"/>
    <w:rsid w:val="00CF71C1"/>
    <w:rsid w:val="00D00E36"/>
    <w:rsid w:val="00D01D01"/>
    <w:rsid w:val="00D02041"/>
    <w:rsid w:val="00D02147"/>
    <w:rsid w:val="00D0345D"/>
    <w:rsid w:val="00D053DB"/>
    <w:rsid w:val="00D05732"/>
    <w:rsid w:val="00D059F2"/>
    <w:rsid w:val="00D07ED3"/>
    <w:rsid w:val="00D102BE"/>
    <w:rsid w:val="00D1084F"/>
    <w:rsid w:val="00D112D5"/>
    <w:rsid w:val="00D11F07"/>
    <w:rsid w:val="00D12229"/>
    <w:rsid w:val="00D12434"/>
    <w:rsid w:val="00D132F9"/>
    <w:rsid w:val="00D14DBE"/>
    <w:rsid w:val="00D15240"/>
    <w:rsid w:val="00D16EC7"/>
    <w:rsid w:val="00D17603"/>
    <w:rsid w:val="00D17DE4"/>
    <w:rsid w:val="00D17E49"/>
    <w:rsid w:val="00D20169"/>
    <w:rsid w:val="00D20227"/>
    <w:rsid w:val="00D20C76"/>
    <w:rsid w:val="00D22A50"/>
    <w:rsid w:val="00D23BBE"/>
    <w:rsid w:val="00D243BF"/>
    <w:rsid w:val="00D261BE"/>
    <w:rsid w:val="00D26B7C"/>
    <w:rsid w:val="00D26C80"/>
    <w:rsid w:val="00D270A3"/>
    <w:rsid w:val="00D271CE"/>
    <w:rsid w:val="00D305FB"/>
    <w:rsid w:val="00D3233D"/>
    <w:rsid w:val="00D336C0"/>
    <w:rsid w:val="00D33DF7"/>
    <w:rsid w:val="00D33EFC"/>
    <w:rsid w:val="00D3453B"/>
    <w:rsid w:val="00D346A5"/>
    <w:rsid w:val="00D34E58"/>
    <w:rsid w:val="00D3520B"/>
    <w:rsid w:val="00D3586F"/>
    <w:rsid w:val="00D35F35"/>
    <w:rsid w:val="00D36D33"/>
    <w:rsid w:val="00D375B0"/>
    <w:rsid w:val="00D37796"/>
    <w:rsid w:val="00D37AFD"/>
    <w:rsid w:val="00D37E92"/>
    <w:rsid w:val="00D402C5"/>
    <w:rsid w:val="00D40A3A"/>
    <w:rsid w:val="00D41027"/>
    <w:rsid w:val="00D41907"/>
    <w:rsid w:val="00D42648"/>
    <w:rsid w:val="00D4264F"/>
    <w:rsid w:val="00D42D79"/>
    <w:rsid w:val="00D43B07"/>
    <w:rsid w:val="00D43CE5"/>
    <w:rsid w:val="00D441CA"/>
    <w:rsid w:val="00D44E78"/>
    <w:rsid w:val="00D453F8"/>
    <w:rsid w:val="00D45584"/>
    <w:rsid w:val="00D455DB"/>
    <w:rsid w:val="00D463C2"/>
    <w:rsid w:val="00D463FE"/>
    <w:rsid w:val="00D46D2C"/>
    <w:rsid w:val="00D47207"/>
    <w:rsid w:val="00D472A1"/>
    <w:rsid w:val="00D47314"/>
    <w:rsid w:val="00D47A18"/>
    <w:rsid w:val="00D47A5C"/>
    <w:rsid w:val="00D47B17"/>
    <w:rsid w:val="00D505B3"/>
    <w:rsid w:val="00D51316"/>
    <w:rsid w:val="00D51EF1"/>
    <w:rsid w:val="00D52167"/>
    <w:rsid w:val="00D521CB"/>
    <w:rsid w:val="00D52972"/>
    <w:rsid w:val="00D52E8F"/>
    <w:rsid w:val="00D52F10"/>
    <w:rsid w:val="00D5452F"/>
    <w:rsid w:val="00D55E5B"/>
    <w:rsid w:val="00D56062"/>
    <w:rsid w:val="00D561AF"/>
    <w:rsid w:val="00D56AEC"/>
    <w:rsid w:val="00D6015C"/>
    <w:rsid w:val="00D606B8"/>
    <w:rsid w:val="00D61A72"/>
    <w:rsid w:val="00D61F30"/>
    <w:rsid w:val="00D636A8"/>
    <w:rsid w:val="00D63915"/>
    <w:rsid w:val="00D6468A"/>
    <w:rsid w:val="00D65178"/>
    <w:rsid w:val="00D663F3"/>
    <w:rsid w:val="00D704E1"/>
    <w:rsid w:val="00D70AE8"/>
    <w:rsid w:val="00D72652"/>
    <w:rsid w:val="00D72FF1"/>
    <w:rsid w:val="00D732DB"/>
    <w:rsid w:val="00D73F69"/>
    <w:rsid w:val="00D75CA7"/>
    <w:rsid w:val="00D7654B"/>
    <w:rsid w:val="00D7788E"/>
    <w:rsid w:val="00D77FED"/>
    <w:rsid w:val="00D80816"/>
    <w:rsid w:val="00D816A8"/>
    <w:rsid w:val="00D827BA"/>
    <w:rsid w:val="00D82A0C"/>
    <w:rsid w:val="00D831E0"/>
    <w:rsid w:val="00D835E3"/>
    <w:rsid w:val="00D851F5"/>
    <w:rsid w:val="00D855FF"/>
    <w:rsid w:val="00D857D2"/>
    <w:rsid w:val="00D8622E"/>
    <w:rsid w:val="00D86655"/>
    <w:rsid w:val="00D87095"/>
    <w:rsid w:val="00D915CC"/>
    <w:rsid w:val="00D916AA"/>
    <w:rsid w:val="00D91C6B"/>
    <w:rsid w:val="00D92FAC"/>
    <w:rsid w:val="00D92FEC"/>
    <w:rsid w:val="00D933E4"/>
    <w:rsid w:val="00D95AE5"/>
    <w:rsid w:val="00D97DCB"/>
    <w:rsid w:val="00DA13C2"/>
    <w:rsid w:val="00DA199A"/>
    <w:rsid w:val="00DA1B76"/>
    <w:rsid w:val="00DA1FB4"/>
    <w:rsid w:val="00DA393D"/>
    <w:rsid w:val="00DA6F0F"/>
    <w:rsid w:val="00DA7483"/>
    <w:rsid w:val="00DA78FD"/>
    <w:rsid w:val="00DB00C3"/>
    <w:rsid w:val="00DB0301"/>
    <w:rsid w:val="00DB0547"/>
    <w:rsid w:val="00DB05BF"/>
    <w:rsid w:val="00DB12A2"/>
    <w:rsid w:val="00DB19FF"/>
    <w:rsid w:val="00DB253F"/>
    <w:rsid w:val="00DB2BFF"/>
    <w:rsid w:val="00DB3355"/>
    <w:rsid w:val="00DB3F22"/>
    <w:rsid w:val="00DB4376"/>
    <w:rsid w:val="00DB4D19"/>
    <w:rsid w:val="00DB5DEB"/>
    <w:rsid w:val="00DB6024"/>
    <w:rsid w:val="00DB6EC4"/>
    <w:rsid w:val="00DB79D0"/>
    <w:rsid w:val="00DC0063"/>
    <w:rsid w:val="00DC09B3"/>
    <w:rsid w:val="00DC1D21"/>
    <w:rsid w:val="00DC1E36"/>
    <w:rsid w:val="00DC3776"/>
    <w:rsid w:val="00DC397D"/>
    <w:rsid w:val="00DC3CB1"/>
    <w:rsid w:val="00DC5A0C"/>
    <w:rsid w:val="00DC62A1"/>
    <w:rsid w:val="00DC66E6"/>
    <w:rsid w:val="00DC6984"/>
    <w:rsid w:val="00DC6D51"/>
    <w:rsid w:val="00DC7322"/>
    <w:rsid w:val="00DD016E"/>
    <w:rsid w:val="00DD0B29"/>
    <w:rsid w:val="00DD0FDC"/>
    <w:rsid w:val="00DD108A"/>
    <w:rsid w:val="00DD19EA"/>
    <w:rsid w:val="00DD29F2"/>
    <w:rsid w:val="00DD335E"/>
    <w:rsid w:val="00DD5079"/>
    <w:rsid w:val="00DD598D"/>
    <w:rsid w:val="00DD638B"/>
    <w:rsid w:val="00DD729B"/>
    <w:rsid w:val="00DE0688"/>
    <w:rsid w:val="00DE0909"/>
    <w:rsid w:val="00DE27A6"/>
    <w:rsid w:val="00DE460F"/>
    <w:rsid w:val="00DE6B89"/>
    <w:rsid w:val="00DE7653"/>
    <w:rsid w:val="00DE78DC"/>
    <w:rsid w:val="00DF0204"/>
    <w:rsid w:val="00DF0348"/>
    <w:rsid w:val="00DF0463"/>
    <w:rsid w:val="00DF0749"/>
    <w:rsid w:val="00DF0F6B"/>
    <w:rsid w:val="00DF1E86"/>
    <w:rsid w:val="00DF2D62"/>
    <w:rsid w:val="00DF3369"/>
    <w:rsid w:val="00DF3589"/>
    <w:rsid w:val="00DF66DA"/>
    <w:rsid w:val="00DF6D85"/>
    <w:rsid w:val="00DF717C"/>
    <w:rsid w:val="00DF7E48"/>
    <w:rsid w:val="00E022A1"/>
    <w:rsid w:val="00E02D92"/>
    <w:rsid w:val="00E030BC"/>
    <w:rsid w:val="00E04EF8"/>
    <w:rsid w:val="00E06D22"/>
    <w:rsid w:val="00E078C0"/>
    <w:rsid w:val="00E07E6D"/>
    <w:rsid w:val="00E10AAB"/>
    <w:rsid w:val="00E11342"/>
    <w:rsid w:val="00E115DF"/>
    <w:rsid w:val="00E137BC"/>
    <w:rsid w:val="00E13CDC"/>
    <w:rsid w:val="00E1400D"/>
    <w:rsid w:val="00E14758"/>
    <w:rsid w:val="00E17E30"/>
    <w:rsid w:val="00E20339"/>
    <w:rsid w:val="00E206EE"/>
    <w:rsid w:val="00E21F91"/>
    <w:rsid w:val="00E21FCE"/>
    <w:rsid w:val="00E22D4C"/>
    <w:rsid w:val="00E233FD"/>
    <w:rsid w:val="00E24DC1"/>
    <w:rsid w:val="00E26F0C"/>
    <w:rsid w:val="00E272BD"/>
    <w:rsid w:val="00E30023"/>
    <w:rsid w:val="00E32180"/>
    <w:rsid w:val="00E32C67"/>
    <w:rsid w:val="00E3368D"/>
    <w:rsid w:val="00E347D5"/>
    <w:rsid w:val="00E35A1B"/>
    <w:rsid w:val="00E35ABC"/>
    <w:rsid w:val="00E36245"/>
    <w:rsid w:val="00E36AEA"/>
    <w:rsid w:val="00E40351"/>
    <w:rsid w:val="00E40C24"/>
    <w:rsid w:val="00E4104F"/>
    <w:rsid w:val="00E4144F"/>
    <w:rsid w:val="00E4184E"/>
    <w:rsid w:val="00E43530"/>
    <w:rsid w:val="00E43677"/>
    <w:rsid w:val="00E43C22"/>
    <w:rsid w:val="00E43C8F"/>
    <w:rsid w:val="00E44B4F"/>
    <w:rsid w:val="00E450C6"/>
    <w:rsid w:val="00E45481"/>
    <w:rsid w:val="00E45E31"/>
    <w:rsid w:val="00E45F86"/>
    <w:rsid w:val="00E46635"/>
    <w:rsid w:val="00E46C2E"/>
    <w:rsid w:val="00E47343"/>
    <w:rsid w:val="00E4796C"/>
    <w:rsid w:val="00E5165A"/>
    <w:rsid w:val="00E51AD7"/>
    <w:rsid w:val="00E5205C"/>
    <w:rsid w:val="00E52CC9"/>
    <w:rsid w:val="00E53C48"/>
    <w:rsid w:val="00E53F4B"/>
    <w:rsid w:val="00E54ACF"/>
    <w:rsid w:val="00E55D26"/>
    <w:rsid w:val="00E5675E"/>
    <w:rsid w:val="00E57D68"/>
    <w:rsid w:val="00E57FDB"/>
    <w:rsid w:val="00E60296"/>
    <w:rsid w:val="00E6065E"/>
    <w:rsid w:val="00E6519B"/>
    <w:rsid w:val="00E70101"/>
    <w:rsid w:val="00E702B0"/>
    <w:rsid w:val="00E707E0"/>
    <w:rsid w:val="00E712F4"/>
    <w:rsid w:val="00E7244B"/>
    <w:rsid w:val="00E72EFE"/>
    <w:rsid w:val="00E72F1E"/>
    <w:rsid w:val="00E730C1"/>
    <w:rsid w:val="00E7317D"/>
    <w:rsid w:val="00E7339B"/>
    <w:rsid w:val="00E7343C"/>
    <w:rsid w:val="00E736A8"/>
    <w:rsid w:val="00E73DFC"/>
    <w:rsid w:val="00E755C6"/>
    <w:rsid w:val="00E75989"/>
    <w:rsid w:val="00E776DD"/>
    <w:rsid w:val="00E77B7F"/>
    <w:rsid w:val="00E81BB5"/>
    <w:rsid w:val="00E81FCC"/>
    <w:rsid w:val="00E821CB"/>
    <w:rsid w:val="00E834A8"/>
    <w:rsid w:val="00E83935"/>
    <w:rsid w:val="00E83A67"/>
    <w:rsid w:val="00E83BE7"/>
    <w:rsid w:val="00E83F4C"/>
    <w:rsid w:val="00E8453D"/>
    <w:rsid w:val="00E8464B"/>
    <w:rsid w:val="00E84781"/>
    <w:rsid w:val="00E84DBC"/>
    <w:rsid w:val="00E857C0"/>
    <w:rsid w:val="00E85C7E"/>
    <w:rsid w:val="00E860B7"/>
    <w:rsid w:val="00E8709C"/>
    <w:rsid w:val="00E87164"/>
    <w:rsid w:val="00E8748C"/>
    <w:rsid w:val="00E87EA1"/>
    <w:rsid w:val="00E9002A"/>
    <w:rsid w:val="00E90F7C"/>
    <w:rsid w:val="00E92011"/>
    <w:rsid w:val="00E9387F"/>
    <w:rsid w:val="00E93A1A"/>
    <w:rsid w:val="00E93CFF"/>
    <w:rsid w:val="00E93FF1"/>
    <w:rsid w:val="00E940B7"/>
    <w:rsid w:val="00E94ABD"/>
    <w:rsid w:val="00E95244"/>
    <w:rsid w:val="00E954C9"/>
    <w:rsid w:val="00E9554A"/>
    <w:rsid w:val="00E9582F"/>
    <w:rsid w:val="00E95C8E"/>
    <w:rsid w:val="00E96C4B"/>
    <w:rsid w:val="00E97423"/>
    <w:rsid w:val="00EA1AC4"/>
    <w:rsid w:val="00EA21B4"/>
    <w:rsid w:val="00EA2CD3"/>
    <w:rsid w:val="00EA2E42"/>
    <w:rsid w:val="00EA310F"/>
    <w:rsid w:val="00EA3AFA"/>
    <w:rsid w:val="00EA43EF"/>
    <w:rsid w:val="00EA4F45"/>
    <w:rsid w:val="00EA5C37"/>
    <w:rsid w:val="00EA600F"/>
    <w:rsid w:val="00EA61DE"/>
    <w:rsid w:val="00EA641A"/>
    <w:rsid w:val="00EA654C"/>
    <w:rsid w:val="00EA6E70"/>
    <w:rsid w:val="00EA76E4"/>
    <w:rsid w:val="00EA7D0A"/>
    <w:rsid w:val="00EB05DE"/>
    <w:rsid w:val="00EB08AA"/>
    <w:rsid w:val="00EB13DE"/>
    <w:rsid w:val="00EB2BC3"/>
    <w:rsid w:val="00EB35A0"/>
    <w:rsid w:val="00EB4752"/>
    <w:rsid w:val="00EB4B3A"/>
    <w:rsid w:val="00EB52C0"/>
    <w:rsid w:val="00EB55A1"/>
    <w:rsid w:val="00EB5F92"/>
    <w:rsid w:val="00EB615E"/>
    <w:rsid w:val="00EB6596"/>
    <w:rsid w:val="00EB6621"/>
    <w:rsid w:val="00EB6F37"/>
    <w:rsid w:val="00EB79E8"/>
    <w:rsid w:val="00EB7EA1"/>
    <w:rsid w:val="00EC0D9F"/>
    <w:rsid w:val="00EC173B"/>
    <w:rsid w:val="00EC1A29"/>
    <w:rsid w:val="00EC32AE"/>
    <w:rsid w:val="00EC3736"/>
    <w:rsid w:val="00EC3844"/>
    <w:rsid w:val="00EC40FB"/>
    <w:rsid w:val="00EC470E"/>
    <w:rsid w:val="00EC4AFA"/>
    <w:rsid w:val="00EC509B"/>
    <w:rsid w:val="00EC537A"/>
    <w:rsid w:val="00EC5D2C"/>
    <w:rsid w:val="00EC5F59"/>
    <w:rsid w:val="00ED0CBA"/>
    <w:rsid w:val="00ED1483"/>
    <w:rsid w:val="00ED1A2F"/>
    <w:rsid w:val="00ED3613"/>
    <w:rsid w:val="00ED59FA"/>
    <w:rsid w:val="00ED5CF7"/>
    <w:rsid w:val="00ED636A"/>
    <w:rsid w:val="00ED6CB9"/>
    <w:rsid w:val="00ED7CAE"/>
    <w:rsid w:val="00EE1D13"/>
    <w:rsid w:val="00EE2907"/>
    <w:rsid w:val="00EE3149"/>
    <w:rsid w:val="00EE35F9"/>
    <w:rsid w:val="00EE4801"/>
    <w:rsid w:val="00EE48A6"/>
    <w:rsid w:val="00EE52A9"/>
    <w:rsid w:val="00EE53FA"/>
    <w:rsid w:val="00EE5ED2"/>
    <w:rsid w:val="00EE642E"/>
    <w:rsid w:val="00EE6C4B"/>
    <w:rsid w:val="00EF065D"/>
    <w:rsid w:val="00EF068C"/>
    <w:rsid w:val="00EF1247"/>
    <w:rsid w:val="00EF2A6F"/>
    <w:rsid w:val="00EF3C0B"/>
    <w:rsid w:val="00EF3E9D"/>
    <w:rsid w:val="00EF434F"/>
    <w:rsid w:val="00EF54B7"/>
    <w:rsid w:val="00EF6159"/>
    <w:rsid w:val="00EF796A"/>
    <w:rsid w:val="00EF7DB2"/>
    <w:rsid w:val="00EF7E6E"/>
    <w:rsid w:val="00F000D5"/>
    <w:rsid w:val="00F0313F"/>
    <w:rsid w:val="00F03389"/>
    <w:rsid w:val="00F033FA"/>
    <w:rsid w:val="00F0518F"/>
    <w:rsid w:val="00F054ED"/>
    <w:rsid w:val="00F05541"/>
    <w:rsid w:val="00F0692E"/>
    <w:rsid w:val="00F0699E"/>
    <w:rsid w:val="00F06CFB"/>
    <w:rsid w:val="00F06F99"/>
    <w:rsid w:val="00F0705E"/>
    <w:rsid w:val="00F07206"/>
    <w:rsid w:val="00F0720F"/>
    <w:rsid w:val="00F0744F"/>
    <w:rsid w:val="00F07997"/>
    <w:rsid w:val="00F07BD5"/>
    <w:rsid w:val="00F10113"/>
    <w:rsid w:val="00F1152B"/>
    <w:rsid w:val="00F11675"/>
    <w:rsid w:val="00F11AE0"/>
    <w:rsid w:val="00F11FD8"/>
    <w:rsid w:val="00F12EE6"/>
    <w:rsid w:val="00F12F3A"/>
    <w:rsid w:val="00F13319"/>
    <w:rsid w:val="00F14B19"/>
    <w:rsid w:val="00F154F8"/>
    <w:rsid w:val="00F15540"/>
    <w:rsid w:val="00F15848"/>
    <w:rsid w:val="00F1637F"/>
    <w:rsid w:val="00F172F4"/>
    <w:rsid w:val="00F1742F"/>
    <w:rsid w:val="00F17A8F"/>
    <w:rsid w:val="00F2105D"/>
    <w:rsid w:val="00F211C4"/>
    <w:rsid w:val="00F21D76"/>
    <w:rsid w:val="00F23C3C"/>
    <w:rsid w:val="00F2527F"/>
    <w:rsid w:val="00F25DB9"/>
    <w:rsid w:val="00F270C6"/>
    <w:rsid w:val="00F27DAD"/>
    <w:rsid w:val="00F3055E"/>
    <w:rsid w:val="00F308E1"/>
    <w:rsid w:val="00F31DA3"/>
    <w:rsid w:val="00F31FEA"/>
    <w:rsid w:val="00F32421"/>
    <w:rsid w:val="00F325A4"/>
    <w:rsid w:val="00F336BC"/>
    <w:rsid w:val="00F3539E"/>
    <w:rsid w:val="00F354A0"/>
    <w:rsid w:val="00F35620"/>
    <w:rsid w:val="00F364CA"/>
    <w:rsid w:val="00F367CF"/>
    <w:rsid w:val="00F36B77"/>
    <w:rsid w:val="00F36CDD"/>
    <w:rsid w:val="00F37191"/>
    <w:rsid w:val="00F37294"/>
    <w:rsid w:val="00F40B6B"/>
    <w:rsid w:val="00F42030"/>
    <w:rsid w:val="00F4313B"/>
    <w:rsid w:val="00F45020"/>
    <w:rsid w:val="00F45498"/>
    <w:rsid w:val="00F45A33"/>
    <w:rsid w:val="00F45D46"/>
    <w:rsid w:val="00F45F22"/>
    <w:rsid w:val="00F462CE"/>
    <w:rsid w:val="00F47949"/>
    <w:rsid w:val="00F47CBF"/>
    <w:rsid w:val="00F47EB8"/>
    <w:rsid w:val="00F50439"/>
    <w:rsid w:val="00F50600"/>
    <w:rsid w:val="00F509D2"/>
    <w:rsid w:val="00F511F6"/>
    <w:rsid w:val="00F51305"/>
    <w:rsid w:val="00F51562"/>
    <w:rsid w:val="00F51B99"/>
    <w:rsid w:val="00F520EF"/>
    <w:rsid w:val="00F541F4"/>
    <w:rsid w:val="00F553E9"/>
    <w:rsid w:val="00F5650B"/>
    <w:rsid w:val="00F5749A"/>
    <w:rsid w:val="00F577C2"/>
    <w:rsid w:val="00F60C10"/>
    <w:rsid w:val="00F63616"/>
    <w:rsid w:val="00F63EE3"/>
    <w:rsid w:val="00F64D41"/>
    <w:rsid w:val="00F651C8"/>
    <w:rsid w:val="00F661F4"/>
    <w:rsid w:val="00F66414"/>
    <w:rsid w:val="00F67212"/>
    <w:rsid w:val="00F676A9"/>
    <w:rsid w:val="00F67F49"/>
    <w:rsid w:val="00F70147"/>
    <w:rsid w:val="00F71070"/>
    <w:rsid w:val="00F710C1"/>
    <w:rsid w:val="00F73410"/>
    <w:rsid w:val="00F74682"/>
    <w:rsid w:val="00F7507D"/>
    <w:rsid w:val="00F756ED"/>
    <w:rsid w:val="00F7594B"/>
    <w:rsid w:val="00F75C2F"/>
    <w:rsid w:val="00F76506"/>
    <w:rsid w:val="00F774F6"/>
    <w:rsid w:val="00F80AC1"/>
    <w:rsid w:val="00F819A5"/>
    <w:rsid w:val="00F824D6"/>
    <w:rsid w:val="00F826C7"/>
    <w:rsid w:val="00F82CA7"/>
    <w:rsid w:val="00F83751"/>
    <w:rsid w:val="00F83766"/>
    <w:rsid w:val="00F83B9E"/>
    <w:rsid w:val="00F83D4B"/>
    <w:rsid w:val="00F84499"/>
    <w:rsid w:val="00F85501"/>
    <w:rsid w:val="00F8565E"/>
    <w:rsid w:val="00F86827"/>
    <w:rsid w:val="00F8710D"/>
    <w:rsid w:val="00F92585"/>
    <w:rsid w:val="00F938CA"/>
    <w:rsid w:val="00F93E95"/>
    <w:rsid w:val="00F95448"/>
    <w:rsid w:val="00F95AC9"/>
    <w:rsid w:val="00F963C2"/>
    <w:rsid w:val="00F96621"/>
    <w:rsid w:val="00F96832"/>
    <w:rsid w:val="00F96C1E"/>
    <w:rsid w:val="00F9708C"/>
    <w:rsid w:val="00F97AEE"/>
    <w:rsid w:val="00F97F17"/>
    <w:rsid w:val="00FA04F0"/>
    <w:rsid w:val="00FA0B58"/>
    <w:rsid w:val="00FA150E"/>
    <w:rsid w:val="00FA1643"/>
    <w:rsid w:val="00FA1FC5"/>
    <w:rsid w:val="00FA36DC"/>
    <w:rsid w:val="00FA3ACE"/>
    <w:rsid w:val="00FA40BC"/>
    <w:rsid w:val="00FA4AD9"/>
    <w:rsid w:val="00FA52D5"/>
    <w:rsid w:val="00FA539E"/>
    <w:rsid w:val="00FA68BD"/>
    <w:rsid w:val="00FA79E4"/>
    <w:rsid w:val="00FA7D75"/>
    <w:rsid w:val="00FB01B9"/>
    <w:rsid w:val="00FB0FE1"/>
    <w:rsid w:val="00FB110E"/>
    <w:rsid w:val="00FB22A7"/>
    <w:rsid w:val="00FB2F57"/>
    <w:rsid w:val="00FB30BB"/>
    <w:rsid w:val="00FB488C"/>
    <w:rsid w:val="00FB4B7F"/>
    <w:rsid w:val="00FB5419"/>
    <w:rsid w:val="00FB5608"/>
    <w:rsid w:val="00FB563F"/>
    <w:rsid w:val="00FB6920"/>
    <w:rsid w:val="00FB7935"/>
    <w:rsid w:val="00FB7B8A"/>
    <w:rsid w:val="00FC0EBF"/>
    <w:rsid w:val="00FC1C5D"/>
    <w:rsid w:val="00FC1DB9"/>
    <w:rsid w:val="00FC2B5C"/>
    <w:rsid w:val="00FC3120"/>
    <w:rsid w:val="00FC3D96"/>
    <w:rsid w:val="00FC4B17"/>
    <w:rsid w:val="00FC5959"/>
    <w:rsid w:val="00FC754E"/>
    <w:rsid w:val="00FD0524"/>
    <w:rsid w:val="00FD4741"/>
    <w:rsid w:val="00FD49B4"/>
    <w:rsid w:val="00FD5847"/>
    <w:rsid w:val="00FD5A52"/>
    <w:rsid w:val="00FD63DA"/>
    <w:rsid w:val="00FD746D"/>
    <w:rsid w:val="00FD7738"/>
    <w:rsid w:val="00FE0132"/>
    <w:rsid w:val="00FE06FC"/>
    <w:rsid w:val="00FE319E"/>
    <w:rsid w:val="00FE42E8"/>
    <w:rsid w:val="00FE440E"/>
    <w:rsid w:val="00FE684B"/>
    <w:rsid w:val="00FE6CE1"/>
    <w:rsid w:val="00FE70D0"/>
    <w:rsid w:val="00FF0590"/>
    <w:rsid w:val="00FF0665"/>
    <w:rsid w:val="00FF1E44"/>
    <w:rsid w:val="00FF20E4"/>
    <w:rsid w:val="00FF227B"/>
    <w:rsid w:val="00FF554E"/>
    <w:rsid w:val="00FF5634"/>
    <w:rsid w:val="00FF5894"/>
    <w:rsid w:val="00FF5E9E"/>
    <w:rsid w:val="00FF6360"/>
    <w:rsid w:val="00FF7304"/>
    <w:rsid w:val="00FF7F4B"/>
    <w:rsid w:val="0104CD16"/>
    <w:rsid w:val="0133FE39"/>
    <w:rsid w:val="01610653"/>
    <w:rsid w:val="01A16522"/>
    <w:rsid w:val="01A5B7AA"/>
    <w:rsid w:val="02685251"/>
    <w:rsid w:val="029E7AFA"/>
    <w:rsid w:val="03B36B7F"/>
    <w:rsid w:val="03F5873D"/>
    <w:rsid w:val="045A95FA"/>
    <w:rsid w:val="0492FD2A"/>
    <w:rsid w:val="051AF1E4"/>
    <w:rsid w:val="063918E1"/>
    <w:rsid w:val="064E2003"/>
    <w:rsid w:val="06AB6E2D"/>
    <w:rsid w:val="0715D5B7"/>
    <w:rsid w:val="0777E531"/>
    <w:rsid w:val="077C0DEF"/>
    <w:rsid w:val="07BFA84B"/>
    <w:rsid w:val="086DC569"/>
    <w:rsid w:val="088CFBD2"/>
    <w:rsid w:val="0960C716"/>
    <w:rsid w:val="09A7F027"/>
    <w:rsid w:val="0A119226"/>
    <w:rsid w:val="0A490D18"/>
    <w:rsid w:val="0A906482"/>
    <w:rsid w:val="0A94C6FC"/>
    <w:rsid w:val="0B19FEBA"/>
    <w:rsid w:val="0B7977B3"/>
    <w:rsid w:val="0B838851"/>
    <w:rsid w:val="0BA56F2E"/>
    <w:rsid w:val="0BE8A7DB"/>
    <w:rsid w:val="0BF15689"/>
    <w:rsid w:val="0C9C66B0"/>
    <w:rsid w:val="0CA089B4"/>
    <w:rsid w:val="0CBC419A"/>
    <w:rsid w:val="0CE588BB"/>
    <w:rsid w:val="0D603874"/>
    <w:rsid w:val="0DE854A5"/>
    <w:rsid w:val="0F6D65E0"/>
    <w:rsid w:val="1015C8D7"/>
    <w:rsid w:val="101DA122"/>
    <w:rsid w:val="10EC4D88"/>
    <w:rsid w:val="11190BCC"/>
    <w:rsid w:val="1151882F"/>
    <w:rsid w:val="116E0EA2"/>
    <w:rsid w:val="11E022ED"/>
    <w:rsid w:val="11FB8855"/>
    <w:rsid w:val="1215B458"/>
    <w:rsid w:val="12A69331"/>
    <w:rsid w:val="12D4B715"/>
    <w:rsid w:val="1305C926"/>
    <w:rsid w:val="13266B97"/>
    <w:rsid w:val="13F3EB65"/>
    <w:rsid w:val="13F5B470"/>
    <w:rsid w:val="148EDC6A"/>
    <w:rsid w:val="14953343"/>
    <w:rsid w:val="14A37855"/>
    <w:rsid w:val="14F410A0"/>
    <w:rsid w:val="15CBB3D7"/>
    <w:rsid w:val="1777AA68"/>
    <w:rsid w:val="179D4A33"/>
    <w:rsid w:val="181897AD"/>
    <w:rsid w:val="185480DE"/>
    <w:rsid w:val="18DBF819"/>
    <w:rsid w:val="19A83F18"/>
    <w:rsid w:val="1A299CC8"/>
    <w:rsid w:val="1A3FFDA6"/>
    <w:rsid w:val="1A528195"/>
    <w:rsid w:val="1A62431D"/>
    <w:rsid w:val="1A628E77"/>
    <w:rsid w:val="1AE2D8A6"/>
    <w:rsid w:val="1B78B771"/>
    <w:rsid w:val="1BBA6809"/>
    <w:rsid w:val="1BD34F42"/>
    <w:rsid w:val="1C26513C"/>
    <w:rsid w:val="1C3A3B0F"/>
    <w:rsid w:val="1C520B80"/>
    <w:rsid w:val="1CAFA0B5"/>
    <w:rsid w:val="1CC87A99"/>
    <w:rsid w:val="1D13B37F"/>
    <w:rsid w:val="1D6B3150"/>
    <w:rsid w:val="1D89A30E"/>
    <w:rsid w:val="1DC6076A"/>
    <w:rsid w:val="1E4AE25C"/>
    <w:rsid w:val="20B23BD6"/>
    <w:rsid w:val="21811F21"/>
    <w:rsid w:val="229B9D27"/>
    <w:rsid w:val="22FC2A65"/>
    <w:rsid w:val="2324958B"/>
    <w:rsid w:val="24AB19A4"/>
    <w:rsid w:val="24C2D6C7"/>
    <w:rsid w:val="24D84BD6"/>
    <w:rsid w:val="24DE4A44"/>
    <w:rsid w:val="255332A5"/>
    <w:rsid w:val="262C06D3"/>
    <w:rsid w:val="26AB7870"/>
    <w:rsid w:val="27002552"/>
    <w:rsid w:val="27397962"/>
    <w:rsid w:val="280D4077"/>
    <w:rsid w:val="2897A750"/>
    <w:rsid w:val="28C5B1C1"/>
    <w:rsid w:val="28F50D23"/>
    <w:rsid w:val="29082467"/>
    <w:rsid w:val="2A9FA71F"/>
    <w:rsid w:val="2AA7EFE3"/>
    <w:rsid w:val="2AE1C229"/>
    <w:rsid w:val="2CB480DE"/>
    <w:rsid w:val="2D1A2263"/>
    <w:rsid w:val="2D2A115E"/>
    <w:rsid w:val="2D972AA6"/>
    <w:rsid w:val="2DB5315E"/>
    <w:rsid w:val="2DE8E25A"/>
    <w:rsid w:val="2DFEA1FF"/>
    <w:rsid w:val="2E1D8856"/>
    <w:rsid w:val="2E3AC947"/>
    <w:rsid w:val="2F2DCB05"/>
    <w:rsid w:val="2F5D445D"/>
    <w:rsid w:val="2F7EE262"/>
    <w:rsid w:val="2FBBCA40"/>
    <w:rsid w:val="2FE2F5FB"/>
    <w:rsid w:val="2FF8D7EC"/>
    <w:rsid w:val="3028B638"/>
    <w:rsid w:val="30377C60"/>
    <w:rsid w:val="3042A088"/>
    <w:rsid w:val="304496EA"/>
    <w:rsid w:val="308AD5C8"/>
    <w:rsid w:val="30AB25D9"/>
    <w:rsid w:val="31509A57"/>
    <w:rsid w:val="322018C6"/>
    <w:rsid w:val="322E646B"/>
    <w:rsid w:val="32317844"/>
    <w:rsid w:val="331809FF"/>
    <w:rsid w:val="33A11978"/>
    <w:rsid w:val="33CCE7DA"/>
    <w:rsid w:val="33E86672"/>
    <w:rsid w:val="340C56F1"/>
    <w:rsid w:val="34193000"/>
    <w:rsid w:val="34974451"/>
    <w:rsid w:val="35B395DD"/>
    <w:rsid w:val="36642E8B"/>
    <w:rsid w:val="373EB00A"/>
    <w:rsid w:val="37DB6AFD"/>
    <w:rsid w:val="37E0801C"/>
    <w:rsid w:val="37FD9A57"/>
    <w:rsid w:val="383F58CB"/>
    <w:rsid w:val="389B9AC9"/>
    <w:rsid w:val="39785948"/>
    <w:rsid w:val="397B8C7E"/>
    <w:rsid w:val="399A31D2"/>
    <w:rsid w:val="399CA95D"/>
    <w:rsid w:val="39A7732E"/>
    <w:rsid w:val="39F11782"/>
    <w:rsid w:val="3A8083FE"/>
    <w:rsid w:val="3A887184"/>
    <w:rsid w:val="3B876EFC"/>
    <w:rsid w:val="3C62DF9A"/>
    <w:rsid w:val="3C749819"/>
    <w:rsid w:val="3C7C3E73"/>
    <w:rsid w:val="3C90A20E"/>
    <w:rsid w:val="3CD0C605"/>
    <w:rsid w:val="3CFED8C6"/>
    <w:rsid w:val="3D462855"/>
    <w:rsid w:val="3E0C7473"/>
    <w:rsid w:val="3E154D51"/>
    <w:rsid w:val="3E2E623D"/>
    <w:rsid w:val="3E585BCE"/>
    <w:rsid w:val="3E6DFCD5"/>
    <w:rsid w:val="3E9DF1E5"/>
    <w:rsid w:val="3F00693C"/>
    <w:rsid w:val="3F0F79FF"/>
    <w:rsid w:val="3F4DD5FC"/>
    <w:rsid w:val="3F8E2C00"/>
    <w:rsid w:val="409869B6"/>
    <w:rsid w:val="40A3AC51"/>
    <w:rsid w:val="40F04DA8"/>
    <w:rsid w:val="4191BDB3"/>
    <w:rsid w:val="427AD5DE"/>
    <w:rsid w:val="42972DBF"/>
    <w:rsid w:val="434A0C41"/>
    <w:rsid w:val="43C224B6"/>
    <w:rsid w:val="43F130B1"/>
    <w:rsid w:val="4588523D"/>
    <w:rsid w:val="45BA26BD"/>
    <w:rsid w:val="462F984F"/>
    <w:rsid w:val="466B8D0F"/>
    <w:rsid w:val="47598B9A"/>
    <w:rsid w:val="475FB014"/>
    <w:rsid w:val="47E41D79"/>
    <w:rsid w:val="48030AD8"/>
    <w:rsid w:val="487FF37E"/>
    <w:rsid w:val="48B56EC3"/>
    <w:rsid w:val="4913F668"/>
    <w:rsid w:val="494E2AFB"/>
    <w:rsid w:val="4952AF85"/>
    <w:rsid w:val="49850BCA"/>
    <w:rsid w:val="4A081F1D"/>
    <w:rsid w:val="4AEB2DC3"/>
    <w:rsid w:val="4B8A38E5"/>
    <w:rsid w:val="4CDF8958"/>
    <w:rsid w:val="4CF2CE1C"/>
    <w:rsid w:val="4D1382D9"/>
    <w:rsid w:val="4D6F8DBF"/>
    <w:rsid w:val="4DAE45EC"/>
    <w:rsid w:val="4DD8FA57"/>
    <w:rsid w:val="4DE38B03"/>
    <w:rsid w:val="4EB14B78"/>
    <w:rsid w:val="4EE26275"/>
    <w:rsid w:val="4F7F5B64"/>
    <w:rsid w:val="4FC0ADF1"/>
    <w:rsid w:val="4FE0ED72"/>
    <w:rsid w:val="50169755"/>
    <w:rsid w:val="51CFEFDC"/>
    <w:rsid w:val="528F1A6C"/>
    <w:rsid w:val="538F0F7B"/>
    <w:rsid w:val="53B4EA0C"/>
    <w:rsid w:val="543D9BEA"/>
    <w:rsid w:val="54774606"/>
    <w:rsid w:val="5522140F"/>
    <w:rsid w:val="556A7C19"/>
    <w:rsid w:val="559A6011"/>
    <w:rsid w:val="55B68938"/>
    <w:rsid w:val="585ADD61"/>
    <w:rsid w:val="5887BAF6"/>
    <w:rsid w:val="58A36BA3"/>
    <w:rsid w:val="58C0BD75"/>
    <w:rsid w:val="5960C9EB"/>
    <w:rsid w:val="5999DEAB"/>
    <w:rsid w:val="59D43885"/>
    <w:rsid w:val="5A3CB0B1"/>
    <w:rsid w:val="5ABA5DEE"/>
    <w:rsid w:val="5B014ADB"/>
    <w:rsid w:val="5BB8387B"/>
    <w:rsid w:val="5BDA8DE3"/>
    <w:rsid w:val="5C13BA21"/>
    <w:rsid w:val="5D5DEEA0"/>
    <w:rsid w:val="5DD01A32"/>
    <w:rsid w:val="5E824B87"/>
    <w:rsid w:val="5EA9D3CA"/>
    <w:rsid w:val="5EC626C7"/>
    <w:rsid w:val="5F175897"/>
    <w:rsid w:val="5FB65332"/>
    <w:rsid w:val="6042BB50"/>
    <w:rsid w:val="60498C53"/>
    <w:rsid w:val="605EBCDC"/>
    <w:rsid w:val="6192CEF4"/>
    <w:rsid w:val="619E75B6"/>
    <w:rsid w:val="61C002CA"/>
    <w:rsid w:val="61FC7AEB"/>
    <w:rsid w:val="623552B4"/>
    <w:rsid w:val="62826052"/>
    <w:rsid w:val="62A5EF7D"/>
    <w:rsid w:val="62AF0AF8"/>
    <w:rsid w:val="62E14F24"/>
    <w:rsid w:val="6367DCEB"/>
    <w:rsid w:val="63950407"/>
    <w:rsid w:val="63AC8F0D"/>
    <w:rsid w:val="63D35742"/>
    <w:rsid w:val="63EEBD94"/>
    <w:rsid w:val="642CE3EF"/>
    <w:rsid w:val="645D2F8B"/>
    <w:rsid w:val="64714D16"/>
    <w:rsid w:val="648CC2B0"/>
    <w:rsid w:val="64E243AD"/>
    <w:rsid w:val="65489005"/>
    <w:rsid w:val="65CCBE2C"/>
    <w:rsid w:val="66362A87"/>
    <w:rsid w:val="66F65ACF"/>
    <w:rsid w:val="6721CA60"/>
    <w:rsid w:val="67619AD2"/>
    <w:rsid w:val="676B0A55"/>
    <w:rsid w:val="67D480E6"/>
    <w:rsid w:val="68384D7D"/>
    <w:rsid w:val="6843284A"/>
    <w:rsid w:val="686439EE"/>
    <w:rsid w:val="68A0A582"/>
    <w:rsid w:val="68F9266D"/>
    <w:rsid w:val="694A5B4B"/>
    <w:rsid w:val="697B485B"/>
    <w:rsid w:val="69EF8E2E"/>
    <w:rsid w:val="6AFAD330"/>
    <w:rsid w:val="6B9DD2EE"/>
    <w:rsid w:val="6BAFCDE3"/>
    <w:rsid w:val="6BC40196"/>
    <w:rsid w:val="6C0EB432"/>
    <w:rsid w:val="6C342AB3"/>
    <w:rsid w:val="6C9E9CD7"/>
    <w:rsid w:val="6D2D560E"/>
    <w:rsid w:val="6D354B2B"/>
    <w:rsid w:val="6DB17420"/>
    <w:rsid w:val="6DECC6C5"/>
    <w:rsid w:val="6E182F5C"/>
    <w:rsid w:val="6E341FB4"/>
    <w:rsid w:val="6ECE6869"/>
    <w:rsid w:val="6ECFA55E"/>
    <w:rsid w:val="6EE8AF7C"/>
    <w:rsid w:val="6F5FF906"/>
    <w:rsid w:val="6F87132D"/>
    <w:rsid w:val="701C91A9"/>
    <w:rsid w:val="702AEC6C"/>
    <w:rsid w:val="7135E244"/>
    <w:rsid w:val="713F713C"/>
    <w:rsid w:val="71904AD4"/>
    <w:rsid w:val="72278850"/>
    <w:rsid w:val="722B2C1F"/>
    <w:rsid w:val="722DF1CB"/>
    <w:rsid w:val="724EEDCE"/>
    <w:rsid w:val="725784DC"/>
    <w:rsid w:val="72E67580"/>
    <w:rsid w:val="7372399B"/>
    <w:rsid w:val="7390BA7D"/>
    <w:rsid w:val="73B4CE82"/>
    <w:rsid w:val="73FF9988"/>
    <w:rsid w:val="74C060E1"/>
    <w:rsid w:val="756B26F1"/>
    <w:rsid w:val="75E19FAA"/>
    <w:rsid w:val="7656E82D"/>
    <w:rsid w:val="7700669A"/>
    <w:rsid w:val="776B0AEB"/>
    <w:rsid w:val="7784324D"/>
    <w:rsid w:val="7794D9A8"/>
    <w:rsid w:val="77A5E513"/>
    <w:rsid w:val="781F33C4"/>
    <w:rsid w:val="790A0D12"/>
    <w:rsid w:val="791BC27E"/>
    <w:rsid w:val="79577E38"/>
    <w:rsid w:val="79A802E6"/>
    <w:rsid w:val="79EB9DBC"/>
    <w:rsid w:val="7A98CCD1"/>
    <w:rsid w:val="7AF0C8AF"/>
    <w:rsid w:val="7B7496CE"/>
    <w:rsid w:val="7BCA481E"/>
    <w:rsid w:val="7C481A3A"/>
    <w:rsid w:val="7C9490C8"/>
    <w:rsid w:val="7CB9B3F2"/>
    <w:rsid w:val="7CBD8564"/>
    <w:rsid w:val="7CE05A27"/>
    <w:rsid w:val="7D0479FD"/>
    <w:rsid w:val="7D10CE4D"/>
    <w:rsid w:val="7DE028C9"/>
    <w:rsid w:val="7DF9E648"/>
    <w:rsid w:val="7E21E887"/>
    <w:rsid w:val="7E28F651"/>
    <w:rsid w:val="7ED44747"/>
    <w:rsid w:val="7EEF5620"/>
    <w:rsid w:val="7F1B5741"/>
    <w:rsid w:val="7F3B3D7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703FD"/>
  <w15:docId w15:val="{DDF6C88F-CBB6-4EF0-8610-D75A1D58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6" w:unhideWhenUsed="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lsdException w:name="List Bullet 4" w:semiHidden="1" w:unhideWhenUsed="1"/>
    <w:lsdException w:name="List Bullet 5" w:semiHidden="1" w:unhideWhenUsed="1"/>
    <w:lsdException w:name="List Number 2" w:semiHidden="1" w:uiPriority="10" w:unhideWhenUsed="1"/>
    <w:lsdException w:name="List Number 3" w:semiHidden="1" w:uiPriority="1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0" w:unhideWhenUsed="1"/>
    <w:lsdException w:name="List Continue 2" w:semiHidden="1" w:uiPriority="11" w:unhideWhenUsed="1"/>
    <w:lsdException w:name="List Continue 3" w:semiHidden="1" w:uiPriority="12"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32114"/>
    <w:pPr>
      <w:spacing w:after="240" w:line="300" w:lineRule="auto"/>
      <w:jc w:val="both"/>
    </w:pPr>
    <w:rPr>
      <w:rFonts w:eastAsia="Calibri" w:cs="Times New Roman"/>
      <w:sz w:val="20"/>
      <w:szCs w:val="24"/>
    </w:rPr>
  </w:style>
  <w:style w:type="paragraph" w:styleId="Heading1">
    <w:name w:val="heading 1"/>
    <w:next w:val="ResetPara"/>
    <w:link w:val="Heading1Char"/>
    <w:uiPriority w:val="6"/>
    <w:qFormat/>
    <w:rsid w:val="007F1F01"/>
    <w:pPr>
      <w:keepNext/>
      <w:keepLines/>
      <w:numPr>
        <w:numId w:val="5"/>
      </w:numPr>
      <w:spacing w:before="240" w:after="40"/>
      <w:outlineLvl w:val="0"/>
    </w:pPr>
    <w:rPr>
      <w:rFonts w:asciiTheme="majorHAnsi" w:eastAsiaTheme="majorEastAsia" w:hAnsiTheme="majorHAnsi" w:cstheme="majorBidi"/>
      <w:b/>
      <w:caps/>
      <w:sz w:val="24"/>
      <w:szCs w:val="32"/>
    </w:rPr>
  </w:style>
  <w:style w:type="paragraph" w:styleId="Heading2">
    <w:name w:val="heading 2"/>
    <w:next w:val="ResetPara"/>
    <w:link w:val="Heading2Char"/>
    <w:uiPriority w:val="6"/>
    <w:unhideWhenUsed/>
    <w:qFormat/>
    <w:rsid w:val="007F1F01"/>
    <w:pPr>
      <w:keepNext/>
      <w:keepLines/>
      <w:numPr>
        <w:ilvl w:val="1"/>
        <w:numId w:val="5"/>
      </w:numPr>
      <w:spacing w:before="240" w:after="40"/>
      <w:outlineLvl w:val="1"/>
    </w:pPr>
    <w:rPr>
      <w:rFonts w:asciiTheme="majorHAnsi" w:eastAsiaTheme="majorEastAsia" w:hAnsiTheme="majorHAnsi" w:cstheme="majorBidi"/>
      <w:b/>
      <w:sz w:val="24"/>
      <w:szCs w:val="26"/>
    </w:rPr>
  </w:style>
  <w:style w:type="paragraph" w:styleId="Heading3">
    <w:name w:val="heading 3"/>
    <w:next w:val="ResetPara"/>
    <w:link w:val="Heading3Char"/>
    <w:uiPriority w:val="6"/>
    <w:unhideWhenUsed/>
    <w:qFormat/>
    <w:rsid w:val="007F1F01"/>
    <w:pPr>
      <w:keepNext/>
      <w:keepLines/>
      <w:numPr>
        <w:ilvl w:val="2"/>
        <w:numId w:val="5"/>
      </w:numPr>
      <w:spacing w:before="240" w:after="40"/>
      <w:outlineLvl w:val="2"/>
    </w:pPr>
    <w:rPr>
      <w:rFonts w:asciiTheme="majorHAnsi" w:eastAsiaTheme="majorEastAsia" w:hAnsiTheme="majorHAnsi" w:cstheme="majorBidi"/>
      <w:b/>
      <w:sz w:val="20"/>
      <w:szCs w:val="24"/>
    </w:rPr>
  </w:style>
  <w:style w:type="paragraph" w:styleId="Heading4">
    <w:name w:val="heading 4"/>
    <w:basedOn w:val="Normal"/>
    <w:next w:val="BodyText"/>
    <w:link w:val="Heading4Char"/>
    <w:uiPriority w:val="6"/>
    <w:qFormat/>
    <w:rsid w:val="006B6119"/>
    <w:pPr>
      <w:keepNext/>
      <w:keepLines/>
      <w:spacing w:before="240" w:after="60" w:line="264" w:lineRule="auto"/>
      <w:jc w:val="left"/>
      <w:outlineLvl w:val="3"/>
    </w:pPr>
    <w:rPr>
      <w:rFonts w:asciiTheme="majorHAnsi" w:eastAsiaTheme="majorEastAsia" w:hAnsiTheme="majorHAnsi" w:cstheme="majorBidi"/>
      <w:b/>
      <w:bCs/>
      <w:iCs/>
      <w:color w:val="222324" w:themeColor="text1"/>
    </w:rPr>
  </w:style>
  <w:style w:type="paragraph" w:styleId="Heading5">
    <w:name w:val="heading 5"/>
    <w:basedOn w:val="Normal"/>
    <w:next w:val="BodyText"/>
    <w:link w:val="Heading5Char"/>
    <w:uiPriority w:val="6"/>
    <w:rsid w:val="006B6119"/>
    <w:pPr>
      <w:keepNext/>
      <w:keepLines/>
      <w:spacing w:before="240" w:after="60" w:line="264" w:lineRule="auto"/>
      <w:jc w:val="left"/>
      <w:outlineLvl w:val="4"/>
    </w:pPr>
    <w:rPr>
      <w:rFonts w:asciiTheme="majorHAnsi" w:eastAsiaTheme="majorEastAsia" w:hAnsiTheme="majorHAnsi" w:cstheme="majorBidi"/>
      <w:b/>
    </w:rPr>
  </w:style>
  <w:style w:type="paragraph" w:styleId="Heading6">
    <w:name w:val="heading 6"/>
    <w:basedOn w:val="Normal"/>
    <w:next w:val="Normal"/>
    <w:link w:val="Heading6Char"/>
    <w:uiPriority w:val="1"/>
    <w:semiHidden/>
    <w:rsid w:val="006B6119"/>
    <w:pPr>
      <w:keepNext/>
      <w:keepLines/>
      <w:numPr>
        <w:ilvl w:val="5"/>
        <w:numId w:val="6"/>
      </w:numPr>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1"/>
    <w:semiHidden/>
    <w:rsid w:val="006B6119"/>
    <w:pPr>
      <w:keepNext/>
      <w:keepLines/>
      <w:numPr>
        <w:ilvl w:val="6"/>
        <w:numId w:val="6"/>
      </w:numPr>
      <w:spacing w:before="200" w:after="0"/>
      <w:outlineLvl w:val="6"/>
    </w:pPr>
    <w:rPr>
      <w:rFonts w:asciiTheme="majorHAnsi" w:eastAsiaTheme="majorEastAsia" w:hAnsiTheme="majorHAnsi" w:cstheme="majorBidi"/>
      <w:i/>
      <w:iCs/>
      <w:color w:val="575A5C" w:themeColor="text1" w:themeTint="BF"/>
    </w:rPr>
  </w:style>
  <w:style w:type="paragraph" w:styleId="Heading8">
    <w:name w:val="heading 8"/>
    <w:basedOn w:val="Normal"/>
    <w:next w:val="Normal"/>
    <w:link w:val="Heading8Char"/>
    <w:uiPriority w:val="1"/>
    <w:semiHidden/>
    <w:rsid w:val="006B6119"/>
    <w:pPr>
      <w:keepNext/>
      <w:keepLines/>
      <w:spacing w:before="200" w:after="0"/>
      <w:outlineLvl w:val="7"/>
    </w:pPr>
    <w:rPr>
      <w:rFonts w:asciiTheme="majorHAnsi" w:eastAsiaTheme="majorEastAsia" w:hAnsiTheme="majorHAnsi" w:cstheme="majorBidi"/>
      <w:color w:val="575A5C" w:themeColor="text1" w:themeTint="BF"/>
      <w:szCs w:val="20"/>
    </w:rPr>
  </w:style>
  <w:style w:type="paragraph" w:styleId="Heading9">
    <w:name w:val="heading 9"/>
    <w:basedOn w:val="Normal"/>
    <w:next w:val="Normal"/>
    <w:link w:val="Heading9Char"/>
    <w:uiPriority w:val="1"/>
    <w:semiHidden/>
    <w:rsid w:val="006B6119"/>
    <w:pPr>
      <w:keepNext/>
      <w:keepLines/>
      <w:spacing w:before="200" w:after="0"/>
      <w:outlineLvl w:val="8"/>
    </w:pPr>
    <w:rPr>
      <w:rFonts w:asciiTheme="majorHAnsi" w:eastAsiaTheme="majorEastAsia" w:hAnsiTheme="majorHAnsi" w:cstheme="majorBidi"/>
      <w:i/>
      <w:iCs/>
      <w:color w:val="575A5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0AF7"/>
    <w:pPr>
      <w:tabs>
        <w:tab w:val="left" w:pos="896"/>
      </w:tabs>
      <w:spacing w:after="0" w:line="240" w:lineRule="auto"/>
      <w:ind w:right="1671"/>
      <w:jc w:val="left"/>
    </w:pPr>
    <w:rPr>
      <w:rFonts w:asciiTheme="majorHAnsi" w:hAnsiTheme="majorHAnsi"/>
      <w:bCs/>
      <w:caps/>
      <w:noProof/>
      <w:sz w:val="16"/>
      <w:lang w:eastAsia="en-AU"/>
    </w:rPr>
  </w:style>
  <w:style w:type="character" w:customStyle="1" w:styleId="HeaderChar">
    <w:name w:val="Header Char"/>
    <w:basedOn w:val="DefaultParagraphFont"/>
    <w:link w:val="Header"/>
    <w:uiPriority w:val="99"/>
    <w:rsid w:val="00090AF7"/>
    <w:rPr>
      <w:rFonts w:asciiTheme="majorHAnsi" w:eastAsia="Calibri" w:hAnsiTheme="majorHAnsi" w:cs="Times New Roman"/>
      <w:bCs/>
      <w:caps/>
      <w:noProof/>
      <w:sz w:val="16"/>
      <w:szCs w:val="24"/>
      <w:lang w:eastAsia="en-AU"/>
    </w:rPr>
  </w:style>
  <w:style w:type="paragraph" w:styleId="Footer">
    <w:name w:val="footer"/>
    <w:basedOn w:val="Normal"/>
    <w:link w:val="FooterChar"/>
    <w:uiPriority w:val="99"/>
    <w:rsid w:val="00C45A03"/>
    <w:pPr>
      <w:tabs>
        <w:tab w:val="right" w:pos="8239"/>
        <w:tab w:val="right" w:pos="9185"/>
      </w:tabs>
      <w:spacing w:after="0" w:line="240" w:lineRule="auto"/>
      <w:jc w:val="left"/>
    </w:pPr>
    <w:rPr>
      <w:rFonts w:asciiTheme="majorHAnsi" w:hAnsiTheme="majorHAnsi"/>
      <w:sz w:val="16"/>
    </w:rPr>
  </w:style>
  <w:style w:type="character" w:customStyle="1" w:styleId="FooterChar">
    <w:name w:val="Footer Char"/>
    <w:basedOn w:val="DefaultParagraphFont"/>
    <w:link w:val="Footer"/>
    <w:uiPriority w:val="99"/>
    <w:rsid w:val="00C45A03"/>
    <w:rPr>
      <w:rFonts w:asciiTheme="majorHAnsi" w:eastAsia="Calibri" w:hAnsiTheme="majorHAnsi" w:cs="Times New Roman"/>
      <w:sz w:val="16"/>
      <w:szCs w:val="24"/>
    </w:rPr>
  </w:style>
  <w:style w:type="character" w:customStyle="1" w:styleId="Heading1Char">
    <w:name w:val="Heading 1 Char"/>
    <w:basedOn w:val="DefaultParagraphFont"/>
    <w:link w:val="Heading1"/>
    <w:uiPriority w:val="6"/>
    <w:rsid w:val="007F1F01"/>
    <w:rPr>
      <w:rFonts w:asciiTheme="majorHAnsi" w:eastAsiaTheme="majorEastAsia" w:hAnsiTheme="majorHAnsi" w:cstheme="majorBidi"/>
      <w:b/>
      <w:caps/>
      <w:sz w:val="24"/>
      <w:szCs w:val="32"/>
    </w:rPr>
  </w:style>
  <w:style w:type="paragraph" w:styleId="BodyText">
    <w:name w:val="Body Text"/>
    <w:basedOn w:val="Normal"/>
    <w:link w:val="BodyTextChar"/>
    <w:qFormat/>
    <w:rsid w:val="001F1DB3"/>
    <w:pPr>
      <w:spacing w:after="120" w:line="240" w:lineRule="auto"/>
      <w:ind w:left="709"/>
      <w:jc w:val="left"/>
    </w:pPr>
    <w:rPr>
      <w:rFonts w:eastAsiaTheme="minorHAnsi" w:cstheme="minorBidi"/>
      <w:szCs w:val="22"/>
    </w:rPr>
  </w:style>
  <w:style w:type="character" w:customStyle="1" w:styleId="BodyTextChar">
    <w:name w:val="Body Text Char"/>
    <w:basedOn w:val="DefaultParagraphFont"/>
    <w:link w:val="BodyText"/>
    <w:rsid w:val="001F1DB3"/>
    <w:rPr>
      <w:sz w:val="20"/>
    </w:rPr>
  </w:style>
  <w:style w:type="paragraph" w:customStyle="1" w:styleId="AppendixHeading1">
    <w:name w:val="Appendix Heading 1"/>
    <w:basedOn w:val="Heading1"/>
    <w:next w:val="ResetPara"/>
    <w:uiPriority w:val="99"/>
    <w:qFormat/>
    <w:rsid w:val="00E450C6"/>
    <w:pPr>
      <w:pageBreakBefore/>
      <w:numPr>
        <w:numId w:val="2"/>
      </w:numPr>
      <w:tabs>
        <w:tab w:val="left" w:pos="1710"/>
      </w:tabs>
    </w:pPr>
  </w:style>
  <w:style w:type="character" w:customStyle="1" w:styleId="Heading2Char">
    <w:name w:val="Heading 2 Char"/>
    <w:basedOn w:val="DefaultParagraphFont"/>
    <w:link w:val="Heading2"/>
    <w:uiPriority w:val="6"/>
    <w:rsid w:val="007F1F01"/>
    <w:rPr>
      <w:rFonts w:asciiTheme="majorHAnsi" w:eastAsiaTheme="majorEastAsia" w:hAnsiTheme="majorHAnsi" w:cstheme="majorBidi"/>
      <w:b/>
      <w:sz w:val="24"/>
      <w:szCs w:val="26"/>
    </w:rPr>
  </w:style>
  <w:style w:type="paragraph" w:customStyle="1" w:styleId="AppendixHeading2">
    <w:name w:val="Appendix Heading 2"/>
    <w:basedOn w:val="Heading2"/>
    <w:next w:val="ResetPara"/>
    <w:uiPriority w:val="99"/>
    <w:qFormat/>
    <w:rsid w:val="007F1F01"/>
    <w:pPr>
      <w:numPr>
        <w:numId w:val="2"/>
      </w:numPr>
      <w:ind w:left="709" w:hanging="709"/>
    </w:pPr>
    <w:rPr>
      <w:noProof/>
      <w:lang w:eastAsia="en-AU"/>
    </w:rPr>
  </w:style>
  <w:style w:type="character" w:customStyle="1" w:styleId="Heading3Char">
    <w:name w:val="Heading 3 Char"/>
    <w:basedOn w:val="DefaultParagraphFont"/>
    <w:link w:val="Heading3"/>
    <w:uiPriority w:val="6"/>
    <w:rsid w:val="007F1F01"/>
    <w:rPr>
      <w:rFonts w:asciiTheme="majorHAnsi" w:eastAsiaTheme="majorEastAsia" w:hAnsiTheme="majorHAnsi" w:cstheme="majorBidi"/>
      <w:b/>
      <w:sz w:val="20"/>
      <w:szCs w:val="24"/>
    </w:rPr>
  </w:style>
  <w:style w:type="paragraph" w:customStyle="1" w:styleId="AppendixHeading3">
    <w:name w:val="Appendix Heading 3"/>
    <w:basedOn w:val="Normal"/>
    <w:next w:val="ResetPara"/>
    <w:uiPriority w:val="99"/>
    <w:qFormat/>
    <w:rsid w:val="000309C1"/>
    <w:pPr>
      <w:keepNext/>
      <w:keepLines/>
      <w:numPr>
        <w:ilvl w:val="2"/>
        <w:numId w:val="2"/>
      </w:numPr>
      <w:spacing w:before="240" w:after="60" w:line="264" w:lineRule="auto"/>
      <w:ind w:left="709" w:hanging="709"/>
      <w:jc w:val="left"/>
      <w:outlineLvl w:val="2"/>
    </w:pPr>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6"/>
    <w:rsid w:val="006B6119"/>
    <w:rPr>
      <w:rFonts w:asciiTheme="majorHAnsi" w:eastAsiaTheme="majorEastAsia" w:hAnsiTheme="majorHAnsi" w:cstheme="majorBidi"/>
      <w:b/>
      <w:bCs/>
      <w:iCs/>
      <w:color w:val="222324" w:themeColor="text1"/>
      <w:sz w:val="20"/>
      <w:szCs w:val="24"/>
    </w:rPr>
  </w:style>
  <w:style w:type="numbering" w:customStyle="1" w:styleId="AppendixList">
    <w:name w:val="Appendix List"/>
    <w:uiPriority w:val="99"/>
    <w:rsid w:val="006B6119"/>
  </w:style>
  <w:style w:type="paragraph" w:customStyle="1" w:styleId="CaptionTable">
    <w:name w:val="Caption Table"/>
    <w:basedOn w:val="Caption"/>
    <w:next w:val="BodyText"/>
    <w:uiPriority w:val="7"/>
    <w:qFormat/>
    <w:rsid w:val="00090AF7"/>
    <w:pPr>
      <w:numPr>
        <w:numId w:val="4"/>
      </w:numPr>
      <w:spacing w:after="60" w:line="264" w:lineRule="auto"/>
      <w:jc w:val="left"/>
    </w:pPr>
    <w:rPr>
      <w:rFonts w:asciiTheme="majorHAnsi" w:hAnsiTheme="majorHAnsi"/>
    </w:rPr>
  </w:style>
  <w:style w:type="paragraph" w:customStyle="1" w:styleId="CaptionFigure">
    <w:name w:val="Caption Figure"/>
    <w:basedOn w:val="CaptionTable"/>
    <w:next w:val="BodyText"/>
    <w:uiPriority w:val="2"/>
    <w:qFormat/>
    <w:rsid w:val="00934056"/>
    <w:pPr>
      <w:numPr>
        <w:numId w:val="15"/>
      </w:numPr>
      <w:spacing w:before="300" w:after="120" w:line="240" w:lineRule="auto"/>
      <w:ind w:left="993" w:hanging="993"/>
      <w:outlineLvl w:val="3"/>
    </w:pPr>
    <w:rPr>
      <w:rFonts w:eastAsiaTheme="minorEastAsia" w:cs="Arial Unicode MS"/>
      <w:color w:val="360F3C" w:themeColor="accent2"/>
      <w:szCs w:val="20"/>
      <w:lang w:val="en-GB" w:eastAsia="ko-KR"/>
    </w:rPr>
  </w:style>
  <w:style w:type="table" w:styleId="TableGrid">
    <w:name w:val="Table Grid"/>
    <w:aliases w:val="AEMO"/>
    <w:basedOn w:val="TableNormal"/>
    <w:uiPriority w:val="1"/>
    <w:rsid w:val="006B6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ttachmentList">
    <w:name w:val="Attachment List"/>
    <w:uiPriority w:val="99"/>
    <w:rsid w:val="006B6119"/>
    <w:pPr>
      <w:numPr>
        <w:numId w:val="3"/>
      </w:numPr>
    </w:pPr>
  </w:style>
  <w:style w:type="paragraph" w:styleId="BalloonText">
    <w:name w:val="Balloon Text"/>
    <w:basedOn w:val="Normal"/>
    <w:link w:val="BalloonTextChar"/>
    <w:uiPriority w:val="99"/>
    <w:semiHidden/>
    <w:unhideWhenUsed/>
    <w:rsid w:val="006B6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119"/>
    <w:rPr>
      <w:rFonts w:ascii="Tahoma" w:eastAsia="Calibri" w:hAnsi="Tahoma" w:cs="Tahoma"/>
      <w:sz w:val="16"/>
      <w:szCs w:val="16"/>
    </w:rPr>
  </w:style>
  <w:style w:type="paragraph" w:styleId="Bibliography">
    <w:name w:val="Bibliography"/>
    <w:basedOn w:val="Normal"/>
    <w:next w:val="Normal"/>
    <w:uiPriority w:val="37"/>
    <w:semiHidden/>
    <w:unhideWhenUsed/>
    <w:rsid w:val="006B6119"/>
  </w:style>
  <w:style w:type="paragraph" w:styleId="BlockText">
    <w:name w:val="Block Text"/>
    <w:basedOn w:val="Normal"/>
    <w:uiPriority w:val="3"/>
    <w:semiHidden/>
    <w:unhideWhenUsed/>
    <w:qFormat/>
    <w:rsid w:val="006B6119"/>
    <w:pPr>
      <w:pBdr>
        <w:top w:val="single" w:sz="2" w:space="10" w:color="C41230" w:themeColor="accent1" w:shadow="1"/>
        <w:left w:val="single" w:sz="2" w:space="10" w:color="C41230" w:themeColor="accent1" w:shadow="1"/>
        <w:bottom w:val="single" w:sz="2" w:space="10" w:color="C41230" w:themeColor="accent1" w:shadow="1"/>
        <w:right w:val="single" w:sz="2" w:space="10" w:color="C41230" w:themeColor="accent1" w:shadow="1"/>
      </w:pBdr>
      <w:ind w:left="1152" w:right="1152"/>
    </w:pPr>
    <w:rPr>
      <w:rFonts w:eastAsiaTheme="minorEastAsia" w:cstheme="minorBidi"/>
      <w:i/>
      <w:iCs/>
      <w:color w:val="C41230" w:themeColor="accent1"/>
    </w:rPr>
  </w:style>
  <w:style w:type="paragraph" w:styleId="BodyText2">
    <w:name w:val="Body Text 2"/>
    <w:basedOn w:val="Normal"/>
    <w:link w:val="BodyText2Char"/>
    <w:uiPriority w:val="99"/>
    <w:semiHidden/>
    <w:rsid w:val="006B6119"/>
    <w:pPr>
      <w:spacing w:after="120" w:line="480" w:lineRule="auto"/>
    </w:pPr>
  </w:style>
  <w:style w:type="character" w:customStyle="1" w:styleId="BodyText2Char">
    <w:name w:val="Body Text 2 Char"/>
    <w:basedOn w:val="DefaultParagraphFont"/>
    <w:link w:val="BodyText2"/>
    <w:uiPriority w:val="99"/>
    <w:semiHidden/>
    <w:rsid w:val="006B6119"/>
    <w:rPr>
      <w:rFonts w:ascii="Arial" w:eastAsia="Calibri" w:hAnsi="Arial" w:cs="Times New Roman"/>
      <w:sz w:val="20"/>
      <w:szCs w:val="24"/>
    </w:rPr>
  </w:style>
  <w:style w:type="paragraph" w:styleId="BodyText3">
    <w:name w:val="Body Text 3"/>
    <w:basedOn w:val="Normal"/>
    <w:link w:val="BodyText3Char"/>
    <w:uiPriority w:val="99"/>
    <w:semiHidden/>
    <w:rsid w:val="006B6119"/>
    <w:pPr>
      <w:spacing w:after="120"/>
    </w:pPr>
    <w:rPr>
      <w:sz w:val="16"/>
      <w:szCs w:val="16"/>
    </w:rPr>
  </w:style>
  <w:style w:type="character" w:customStyle="1" w:styleId="BodyText3Char">
    <w:name w:val="Body Text 3 Char"/>
    <w:basedOn w:val="DefaultParagraphFont"/>
    <w:link w:val="BodyText3"/>
    <w:uiPriority w:val="99"/>
    <w:semiHidden/>
    <w:rsid w:val="006B6119"/>
    <w:rPr>
      <w:rFonts w:ascii="Arial" w:eastAsia="Calibri" w:hAnsi="Arial" w:cs="Times New Roman"/>
      <w:sz w:val="16"/>
      <w:szCs w:val="16"/>
    </w:rPr>
  </w:style>
  <w:style w:type="paragraph" w:styleId="BodyTextFirstIndent">
    <w:name w:val="Body Text First Indent"/>
    <w:basedOn w:val="BodyText"/>
    <w:link w:val="BodyTextFirstIndentChar"/>
    <w:uiPriority w:val="99"/>
    <w:semiHidden/>
    <w:unhideWhenUsed/>
    <w:rsid w:val="006B6119"/>
    <w:pPr>
      <w:ind w:firstLine="425"/>
    </w:pPr>
  </w:style>
  <w:style w:type="character" w:customStyle="1" w:styleId="BodyTextFirstIndentChar">
    <w:name w:val="Body Text First Indent Char"/>
    <w:basedOn w:val="BodyTextChar"/>
    <w:link w:val="BodyTextFirstIndent"/>
    <w:uiPriority w:val="99"/>
    <w:semiHidden/>
    <w:rsid w:val="006B6119"/>
    <w:rPr>
      <w:sz w:val="20"/>
    </w:rPr>
  </w:style>
  <w:style w:type="paragraph" w:styleId="BodyTextIndent">
    <w:name w:val="Body Text Indent"/>
    <w:basedOn w:val="Normal"/>
    <w:link w:val="BodyTextIndentChar"/>
    <w:uiPriority w:val="99"/>
    <w:semiHidden/>
    <w:unhideWhenUsed/>
    <w:rsid w:val="006B6119"/>
    <w:pPr>
      <w:spacing w:after="120"/>
      <w:ind w:left="283"/>
    </w:pPr>
  </w:style>
  <w:style w:type="character" w:customStyle="1" w:styleId="BodyTextIndentChar">
    <w:name w:val="Body Text Indent Char"/>
    <w:basedOn w:val="DefaultParagraphFont"/>
    <w:link w:val="BodyTextIndent"/>
    <w:uiPriority w:val="99"/>
    <w:semiHidden/>
    <w:rsid w:val="006B6119"/>
    <w:rPr>
      <w:rFonts w:ascii="Arial" w:eastAsia="Calibri" w:hAnsi="Arial" w:cs="Times New Roman"/>
      <w:sz w:val="20"/>
      <w:szCs w:val="24"/>
    </w:rPr>
  </w:style>
  <w:style w:type="paragraph" w:styleId="BodyTextFirstIndent2">
    <w:name w:val="Body Text First Indent 2"/>
    <w:basedOn w:val="BodyTextIndent"/>
    <w:link w:val="BodyTextFirstIndent2Char"/>
    <w:uiPriority w:val="99"/>
    <w:semiHidden/>
    <w:unhideWhenUsed/>
    <w:rsid w:val="006B6119"/>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B6119"/>
    <w:rPr>
      <w:rFonts w:ascii="Arial" w:eastAsia="Calibri" w:hAnsi="Arial" w:cs="Times New Roman"/>
      <w:sz w:val="20"/>
      <w:szCs w:val="24"/>
    </w:rPr>
  </w:style>
  <w:style w:type="paragraph" w:styleId="BodyTextIndent2">
    <w:name w:val="Body Text Indent 2"/>
    <w:basedOn w:val="Normal"/>
    <w:link w:val="BodyTextIndent2Char"/>
    <w:uiPriority w:val="99"/>
    <w:semiHidden/>
    <w:unhideWhenUsed/>
    <w:rsid w:val="006B6119"/>
    <w:pPr>
      <w:spacing w:after="120" w:line="480" w:lineRule="auto"/>
      <w:ind w:left="283"/>
    </w:pPr>
  </w:style>
  <w:style w:type="character" w:customStyle="1" w:styleId="BodyTextIndent2Char">
    <w:name w:val="Body Text Indent 2 Char"/>
    <w:basedOn w:val="DefaultParagraphFont"/>
    <w:link w:val="BodyTextIndent2"/>
    <w:uiPriority w:val="99"/>
    <w:semiHidden/>
    <w:rsid w:val="006B6119"/>
    <w:rPr>
      <w:rFonts w:ascii="Arial" w:eastAsia="Calibri" w:hAnsi="Arial" w:cs="Times New Roman"/>
      <w:sz w:val="20"/>
      <w:szCs w:val="24"/>
    </w:rPr>
  </w:style>
  <w:style w:type="paragraph" w:styleId="BodyTextIndent3">
    <w:name w:val="Body Text Indent 3"/>
    <w:basedOn w:val="Normal"/>
    <w:link w:val="BodyTextIndent3Char"/>
    <w:uiPriority w:val="99"/>
    <w:semiHidden/>
    <w:unhideWhenUsed/>
    <w:rsid w:val="006B611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6119"/>
    <w:rPr>
      <w:rFonts w:ascii="Arial" w:eastAsia="Calibri" w:hAnsi="Arial" w:cs="Times New Roman"/>
      <w:sz w:val="16"/>
      <w:szCs w:val="16"/>
    </w:rPr>
  </w:style>
  <w:style w:type="paragraph" w:customStyle="1" w:styleId="BodyTextSummary">
    <w:name w:val="Body Text Summary"/>
    <w:basedOn w:val="BodyText"/>
    <w:semiHidden/>
    <w:rsid w:val="006B6119"/>
    <w:pPr>
      <w:spacing w:line="300" w:lineRule="auto"/>
    </w:pPr>
    <w:rPr>
      <w:rFonts w:cstheme="minorHAnsi"/>
      <w:color w:val="F47321"/>
      <w:sz w:val="24"/>
    </w:rPr>
  </w:style>
  <w:style w:type="paragraph" w:styleId="Caption">
    <w:name w:val="caption"/>
    <w:basedOn w:val="Normal"/>
    <w:next w:val="Normal"/>
    <w:semiHidden/>
    <w:qFormat/>
    <w:rsid w:val="006B6119"/>
    <w:pPr>
      <w:keepNext/>
      <w:spacing w:before="240" w:after="40" w:line="240" w:lineRule="auto"/>
    </w:pPr>
    <w:rPr>
      <w:b/>
      <w:bCs/>
      <w:sz w:val="18"/>
      <w:szCs w:val="18"/>
    </w:rPr>
  </w:style>
  <w:style w:type="paragraph" w:styleId="Closing">
    <w:name w:val="Closing"/>
    <w:basedOn w:val="Normal"/>
    <w:link w:val="ClosingChar"/>
    <w:uiPriority w:val="99"/>
    <w:semiHidden/>
    <w:unhideWhenUsed/>
    <w:rsid w:val="006B6119"/>
    <w:pPr>
      <w:spacing w:after="0" w:line="240" w:lineRule="auto"/>
      <w:ind w:left="4252"/>
    </w:pPr>
  </w:style>
  <w:style w:type="character" w:customStyle="1" w:styleId="ClosingChar">
    <w:name w:val="Closing Char"/>
    <w:basedOn w:val="DefaultParagraphFont"/>
    <w:link w:val="Closing"/>
    <w:uiPriority w:val="99"/>
    <w:semiHidden/>
    <w:rsid w:val="006B6119"/>
    <w:rPr>
      <w:rFonts w:ascii="Arial" w:eastAsia="Calibri" w:hAnsi="Arial" w:cs="Times New Roman"/>
      <w:sz w:val="20"/>
      <w:szCs w:val="24"/>
    </w:rPr>
  </w:style>
  <w:style w:type="paragraph" w:styleId="CommentText">
    <w:name w:val="annotation text"/>
    <w:basedOn w:val="Normal"/>
    <w:link w:val="CommentTextChar"/>
    <w:uiPriority w:val="99"/>
    <w:unhideWhenUsed/>
    <w:rsid w:val="006B6119"/>
    <w:pPr>
      <w:spacing w:line="240" w:lineRule="auto"/>
    </w:pPr>
    <w:rPr>
      <w:szCs w:val="20"/>
    </w:rPr>
  </w:style>
  <w:style w:type="character" w:customStyle="1" w:styleId="CommentTextChar">
    <w:name w:val="Comment Text Char"/>
    <w:basedOn w:val="DefaultParagraphFont"/>
    <w:link w:val="CommentText"/>
    <w:uiPriority w:val="99"/>
    <w:rsid w:val="006B6119"/>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6B6119"/>
    <w:rPr>
      <w:b/>
      <w:bCs/>
    </w:rPr>
  </w:style>
  <w:style w:type="character" w:customStyle="1" w:styleId="CommentSubjectChar">
    <w:name w:val="Comment Subject Char"/>
    <w:basedOn w:val="CommentTextChar"/>
    <w:link w:val="CommentSubject"/>
    <w:uiPriority w:val="99"/>
    <w:semiHidden/>
    <w:rsid w:val="006B6119"/>
    <w:rPr>
      <w:rFonts w:ascii="Arial" w:eastAsia="Calibri" w:hAnsi="Arial" w:cs="Times New Roman"/>
      <w:b/>
      <w:bCs/>
      <w:sz w:val="20"/>
      <w:szCs w:val="20"/>
    </w:rPr>
  </w:style>
  <w:style w:type="paragraph" w:styleId="Date">
    <w:name w:val="Date"/>
    <w:basedOn w:val="Normal"/>
    <w:next w:val="Normal"/>
    <w:link w:val="DateChar"/>
    <w:uiPriority w:val="99"/>
    <w:semiHidden/>
    <w:unhideWhenUsed/>
    <w:rsid w:val="006B6119"/>
  </w:style>
  <w:style w:type="character" w:customStyle="1" w:styleId="DateChar">
    <w:name w:val="Date Char"/>
    <w:basedOn w:val="DefaultParagraphFont"/>
    <w:link w:val="Date"/>
    <w:uiPriority w:val="99"/>
    <w:semiHidden/>
    <w:rsid w:val="006B6119"/>
    <w:rPr>
      <w:rFonts w:ascii="Arial" w:eastAsia="Calibri" w:hAnsi="Arial" w:cs="Times New Roman"/>
      <w:sz w:val="20"/>
      <w:szCs w:val="24"/>
    </w:rPr>
  </w:style>
  <w:style w:type="paragraph" w:styleId="DocumentMap">
    <w:name w:val="Document Map"/>
    <w:basedOn w:val="Normal"/>
    <w:link w:val="DocumentMapChar"/>
    <w:uiPriority w:val="99"/>
    <w:semiHidden/>
    <w:unhideWhenUsed/>
    <w:rsid w:val="006B611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B6119"/>
    <w:rPr>
      <w:rFonts w:ascii="Tahoma" w:eastAsia="Calibri" w:hAnsi="Tahoma" w:cs="Tahoma"/>
      <w:sz w:val="16"/>
      <w:szCs w:val="16"/>
    </w:rPr>
  </w:style>
  <w:style w:type="paragraph" w:styleId="E-mailSignature">
    <w:name w:val="E-mail Signature"/>
    <w:basedOn w:val="Normal"/>
    <w:link w:val="E-mailSignatureChar"/>
    <w:uiPriority w:val="99"/>
    <w:semiHidden/>
    <w:unhideWhenUsed/>
    <w:rsid w:val="006B6119"/>
    <w:pPr>
      <w:spacing w:after="0" w:line="240" w:lineRule="auto"/>
    </w:pPr>
  </w:style>
  <w:style w:type="character" w:customStyle="1" w:styleId="E-mailSignatureChar">
    <w:name w:val="E-mail Signature Char"/>
    <w:basedOn w:val="DefaultParagraphFont"/>
    <w:link w:val="E-mailSignature"/>
    <w:uiPriority w:val="99"/>
    <w:semiHidden/>
    <w:rsid w:val="006B6119"/>
    <w:rPr>
      <w:rFonts w:ascii="Arial" w:eastAsia="Calibri" w:hAnsi="Arial" w:cs="Times New Roman"/>
      <w:sz w:val="20"/>
      <w:szCs w:val="24"/>
    </w:rPr>
  </w:style>
  <w:style w:type="paragraph" w:styleId="EndnoteText">
    <w:name w:val="endnote text"/>
    <w:basedOn w:val="Normal"/>
    <w:link w:val="EndnoteTextChar"/>
    <w:uiPriority w:val="99"/>
    <w:semiHidden/>
    <w:unhideWhenUsed/>
    <w:rsid w:val="006B6119"/>
    <w:pPr>
      <w:spacing w:after="0" w:line="240" w:lineRule="auto"/>
    </w:pPr>
    <w:rPr>
      <w:szCs w:val="20"/>
    </w:rPr>
  </w:style>
  <w:style w:type="character" w:customStyle="1" w:styleId="EndnoteTextChar">
    <w:name w:val="Endnote Text Char"/>
    <w:basedOn w:val="DefaultParagraphFont"/>
    <w:link w:val="EndnoteText"/>
    <w:uiPriority w:val="99"/>
    <w:semiHidden/>
    <w:rsid w:val="006B6119"/>
    <w:rPr>
      <w:rFonts w:ascii="Arial" w:eastAsia="Calibri" w:hAnsi="Arial" w:cs="Times New Roman"/>
      <w:sz w:val="20"/>
      <w:szCs w:val="20"/>
    </w:rPr>
  </w:style>
  <w:style w:type="paragraph" w:styleId="EnvelopeAddress">
    <w:name w:val="envelope address"/>
    <w:basedOn w:val="Normal"/>
    <w:uiPriority w:val="99"/>
    <w:semiHidden/>
    <w:unhideWhenUsed/>
    <w:rsid w:val="006B6119"/>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6B6119"/>
    <w:pPr>
      <w:spacing w:after="0" w:line="240" w:lineRule="auto"/>
    </w:pPr>
    <w:rPr>
      <w:rFonts w:asciiTheme="majorHAnsi" w:eastAsiaTheme="majorEastAsia" w:hAnsiTheme="majorHAnsi" w:cstheme="majorBidi"/>
      <w:szCs w:val="20"/>
    </w:rPr>
  </w:style>
  <w:style w:type="paragraph" w:customStyle="1" w:styleId="Figure">
    <w:name w:val="Figure"/>
    <w:basedOn w:val="Caption"/>
    <w:next w:val="TableFootnote"/>
    <w:uiPriority w:val="7"/>
    <w:rsid w:val="006B6119"/>
    <w:pPr>
      <w:shd w:val="clear" w:color="auto" w:fill="F7F5F5"/>
      <w:spacing w:before="0" w:after="0"/>
      <w:jc w:val="center"/>
    </w:pPr>
    <w:rPr>
      <w:noProof/>
      <w:lang w:eastAsia="en-AU"/>
    </w:rPr>
  </w:style>
  <w:style w:type="paragraph" w:customStyle="1" w:styleId="FooterEven">
    <w:name w:val="Footer Even"/>
    <w:basedOn w:val="Normal"/>
    <w:link w:val="FooterEvenChar"/>
    <w:semiHidden/>
    <w:rsid w:val="006B6119"/>
    <w:pPr>
      <w:tabs>
        <w:tab w:val="left" w:pos="947"/>
        <w:tab w:val="right" w:pos="9185"/>
      </w:tabs>
      <w:spacing w:after="0" w:line="240" w:lineRule="auto"/>
    </w:pPr>
    <w:rPr>
      <w:color w:val="F47321"/>
      <w:sz w:val="12"/>
    </w:rPr>
  </w:style>
  <w:style w:type="character" w:customStyle="1" w:styleId="FooterEvenChar">
    <w:name w:val="Footer Even Char"/>
    <w:basedOn w:val="DefaultParagraphFont"/>
    <w:link w:val="FooterEven"/>
    <w:semiHidden/>
    <w:rsid w:val="006B6119"/>
    <w:rPr>
      <w:rFonts w:ascii="Arial" w:eastAsia="Calibri" w:hAnsi="Arial" w:cs="Times New Roman"/>
      <w:color w:val="F47321"/>
      <w:sz w:val="12"/>
      <w:szCs w:val="24"/>
    </w:rPr>
  </w:style>
  <w:style w:type="character" w:styleId="FootnoteReference">
    <w:name w:val="footnote reference"/>
    <w:basedOn w:val="DefaultParagraphFont"/>
    <w:uiPriority w:val="99"/>
    <w:semiHidden/>
    <w:rsid w:val="006B6119"/>
    <w:rPr>
      <w:vertAlign w:val="superscript"/>
    </w:rPr>
  </w:style>
  <w:style w:type="paragraph" w:styleId="FootnoteText">
    <w:name w:val="footnote text"/>
    <w:basedOn w:val="Normal"/>
    <w:link w:val="FootnoteTextChar"/>
    <w:uiPriority w:val="29"/>
    <w:semiHidden/>
    <w:rsid w:val="0019250F"/>
    <w:pPr>
      <w:tabs>
        <w:tab w:val="left" w:pos="180"/>
      </w:tabs>
      <w:spacing w:after="0" w:line="240" w:lineRule="auto"/>
      <w:ind w:left="180" w:hanging="180"/>
      <w:jc w:val="left"/>
    </w:pPr>
    <w:rPr>
      <w:sz w:val="16"/>
      <w:szCs w:val="20"/>
    </w:rPr>
  </w:style>
  <w:style w:type="character" w:customStyle="1" w:styleId="FootnoteTextChar">
    <w:name w:val="Footnote Text Char"/>
    <w:basedOn w:val="DefaultParagraphFont"/>
    <w:link w:val="FootnoteText"/>
    <w:uiPriority w:val="29"/>
    <w:semiHidden/>
    <w:rsid w:val="0019250F"/>
    <w:rPr>
      <w:rFonts w:eastAsia="Calibri" w:cs="Times New Roman"/>
      <w:sz w:val="16"/>
      <w:szCs w:val="20"/>
    </w:rPr>
  </w:style>
  <w:style w:type="paragraph" w:customStyle="1" w:styleId="ForewordHeading1">
    <w:name w:val="Foreword Heading 1"/>
    <w:basedOn w:val="Heading1"/>
    <w:next w:val="BodyText"/>
    <w:uiPriority w:val="5"/>
    <w:rsid w:val="006B6119"/>
    <w:pPr>
      <w:pageBreakBefore/>
      <w:numPr>
        <w:numId w:val="0"/>
      </w:numPr>
      <w:spacing w:after="60" w:line="264" w:lineRule="auto"/>
    </w:pPr>
    <w:rPr>
      <w:rFonts w:cstheme="majorHAnsi"/>
      <w:bCs/>
      <w:szCs w:val="28"/>
    </w:rPr>
  </w:style>
  <w:style w:type="paragraph" w:customStyle="1" w:styleId="ForewordHeading2">
    <w:name w:val="Foreword Heading 2"/>
    <w:basedOn w:val="Heading2"/>
    <w:next w:val="BodyText"/>
    <w:uiPriority w:val="5"/>
    <w:rsid w:val="006B6119"/>
    <w:pPr>
      <w:numPr>
        <w:ilvl w:val="0"/>
        <w:numId w:val="0"/>
      </w:numPr>
      <w:spacing w:after="60" w:line="264" w:lineRule="auto"/>
      <w:ind w:right="567"/>
    </w:pPr>
    <w:rPr>
      <w:bCs/>
      <w:szCs w:val="24"/>
    </w:rPr>
  </w:style>
  <w:style w:type="paragraph" w:customStyle="1" w:styleId="ForewordHeading3">
    <w:name w:val="Foreword Heading 3"/>
    <w:basedOn w:val="Heading3"/>
    <w:next w:val="BodyText"/>
    <w:uiPriority w:val="5"/>
    <w:rsid w:val="006B6119"/>
    <w:pPr>
      <w:numPr>
        <w:ilvl w:val="0"/>
        <w:numId w:val="0"/>
      </w:numPr>
      <w:spacing w:after="60" w:line="264" w:lineRule="auto"/>
    </w:pPr>
    <w:rPr>
      <w:bCs/>
    </w:rPr>
  </w:style>
  <w:style w:type="character" w:customStyle="1" w:styleId="Heading5Char">
    <w:name w:val="Heading 5 Char"/>
    <w:basedOn w:val="DefaultParagraphFont"/>
    <w:link w:val="Heading5"/>
    <w:uiPriority w:val="6"/>
    <w:rsid w:val="006B6119"/>
    <w:rPr>
      <w:rFonts w:asciiTheme="majorHAnsi" w:eastAsiaTheme="majorEastAsia" w:hAnsiTheme="majorHAnsi" w:cstheme="majorBidi"/>
      <w:b/>
      <w:sz w:val="20"/>
      <w:szCs w:val="24"/>
    </w:rPr>
  </w:style>
  <w:style w:type="character" w:customStyle="1" w:styleId="Heading6Char">
    <w:name w:val="Heading 6 Char"/>
    <w:basedOn w:val="DefaultParagraphFont"/>
    <w:link w:val="Heading6"/>
    <w:uiPriority w:val="1"/>
    <w:semiHidden/>
    <w:rsid w:val="006B6119"/>
    <w:rPr>
      <w:rFonts w:asciiTheme="majorHAnsi" w:eastAsiaTheme="majorEastAsia" w:hAnsiTheme="majorHAnsi" w:cstheme="majorBidi"/>
      <w:i/>
      <w:iCs/>
      <w:sz w:val="20"/>
      <w:szCs w:val="24"/>
    </w:rPr>
  </w:style>
  <w:style w:type="character" w:customStyle="1" w:styleId="Heading7Char">
    <w:name w:val="Heading 7 Char"/>
    <w:basedOn w:val="DefaultParagraphFont"/>
    <w:link w:val="Heading7"/>
    <w:uiPriority w:val="1"/>
    <w:semiHidden/>
    <w:rsid w:val="006B6119"/>
    <w:rPr>
      <w:rFonts w:asciiTheme="majorHAnsi" w:eastAsiaTheme="majorEastAsia" w:hAnsiTheme="majorHAnsi" w:cstheme="majorBidi"/>
      <w:i/>
      <w:iCs/>
      <w:color w:val="575A5C" w:themeColor="text1" w:themeTint="BF"/>
      <w:sz w:val="20"/>
      <w:szCs w:val="24"/>
    </w:rPr>
  </w:style>
  <w:style w:type="character" w:customStyle="1" w:styleId="Heading8Char">
    <w:name w:val="Heading 8 Char"/>
    <w:basedOn w:val="DefaultParagraphFont"/>
    <w:link w:val="Heading8"/>
    <w:uiPriority w:val="1"/>
    <w:semiHidden/>
    <w:rsid w:val="006B6119"/>
    <w:rPr>
      <w:rFonts w:asciiTheme="majorHAnsi" w:eastAsiaTheme="majorEastAsia" w:hAnsiTheme="majorHAnsi" w:cstheme="majorBidi"/>
      <w:color w:val="575A5C" w:themeColor="text1" w:themeTint="BF"/>
      <w:sz w:val="20"/>
      <w:szCs w:val="20"/>
    </w:rPr>
  </w:style>
  <w:style w:type="character" w:customStyle="1" w:styleId="Heading9Char">
    <w:name w:val="Heading 9 Char"/>
    <w:basedOn w:val="DefaultParagraphFont"/>
    <w:link w:val="Heading9"/>
    <w:uiPriority w:val="1"/>
    <w:semiHidden/>
    <w:rsid w:val="006B6119"/>
    <w:rPr>
      <w:rFonts w:asciiTheme="majorHAnsi" w:eastAsiaTheme="majorEastAsia" w:hAnsiTheme="majorHAnsi" w:cstheme="majorBidi"/>
      <w:i/>
      <w:iCs/>
      <w:color w:val="575A5C" w:themeColor="text1" w:themeTint="BF"/>
      <w:sz w:val="20"/>
      <w:szCs w:val="20"/>
    </w:rPr>
  </w:style>
  <w:style w:type="numbering" w:customStyle="1" w:styleId="HeadingList">
    <w:name w:val="Heading List"/>
    <w:uiPriority w:val="99"/>
    <w:rsid w:val="006B6119"/>
    <w:pPr>
      <w:numPr>
        <w:numId w:val="7"/>
      </w:numPr>
    </w:pPr>
  </w:style>
  <w:style w:type="paragraph" w:customStyle="1" w:styleId="Headingu6">
    <w:name w:val="Heading u6"/>
    <w:basedOn w:val="Heading6"/>
    <w:next w:val="BodyText"/>
    <w:semiHidden/>
    <w:rsid w:val="006B6119"/>
    <w:pPr>
      <w:numPr>
        <w:ilvl w:val="0"/>
        <w:numId w:val="0"/>
      </w:numPr>
    </w:pPr>
  </w:style>
  <w:style w:type="paragraph" w:styleId="HTMLAddress">
    <w:name w:val="HTML Address"/>
    <w:basedOn w:val="Normal"/>
    <w:link w:val="HTMLAddressChar"/>
    <w:uiPriority w:val="99"/>
    <w:semiHidden/>
    <w:unhideWhenUsed/>
    <w:rsid w:val="006B6119"/>
    <w:pPr>
      <w:spacing w:after="0" w:line="240" w:lineRule="auto"/>
    </w:pPr>
    <w:rPr>
      <w:i/>
      <w:iCs/>
    </w:rPr>
  </w:style>
  <w:style w:type="character" w:customStyle="1" w:styleId="HTMLAddressChar">
    <w:name w:val="HTML Address Char"/>
    <w:basedOn w:val="DefaultParagraphFont"/>
    <w:link w:val="HTMLAddress"/>
    <w:uiPriority w:val="99"/>
    <w:semiHidden/>
    <w:rsid w:val="006B6119"/>
    <w:rPr>
      <w:rFonts w:ascii="Arial" w:eastAsia="Calibri" w:hAnsi="Arial" w:cs="Times New Roman"/>
      <w:i/>
      <w:iCs/>
      <w:sz w:val="20"/>
      <w:szCs w:val="24"/>
    </w:rPr>
  </w:style>
  <w:style w:type="paragraph" w:styleId="HTMLPreformatted">
    <w:name w:val="HTML Preformatted"/>
    <w:basedOn w:val="Normal"/>
    <w:link w:val="HTMLPreformattedChar"/>
    <w:uiPriority w:val="99"/>
    <w:semiHidden/>
    <w:unhideWhenUsed/>
    <w:rsid w:val="006B611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B6119"/>
    <w:rPr>
      <w:rFonts w:ascii="Consolas" w:eastAsia="Calibri" w:hAnsi="Consolas" w:cs="Times New Roman"/>
      <w:sz w:val="20"/>
      <w:szCs w:val="20"/>
    </w:rPr>
  </w:style>
  <w:style w:type="character" w:styleId="Hyperlink">
    <w:name w:val="Hyperlink"/>
    <w:basedOn w:val="BodyTextChar"/>
    <w:uiPriority w:val="99"/>
    <w:rsid w:val="00BF75A9"/>
    <w:rPr>
      <w:rFonts w:asciiTheme="minorHAnsi" w:eastAsia="Calibri" w:hAnsiTheme="minorHAnsi" w:cs="Times New Roman"/>
      <w:b w:val="0"/>
      <w:color w:val="auto"/>
      <w:sz w:val="20"/>
      <w:szCs w:val="24"/>
      <w:u w:val="single"/>
      <w:lang w:eastAsia="en-US"/>
    </w:rPr>
  </w:style>
  <w:style w:type="paragraph" w:styleId="Index1">
    <w:name w:val="index 1"/>
    <w:basedOn w:val="Normal"/>
    <w:next w:val="Normal"/>
    <w:autoRedefine/>
    <w:uiPriority w:val="99"/>
    <w:semiHidden/>
    <w:unhideWhenUsed/>
    <w:rsid w:val="006B6119"/>
    <w:pPr>
      <w:spacing w:after="0" w:line="240" w:lineRule="auto"/>
      <w:ind w:left="200" w:hanging="200"/>
    </w:pPr>
  </w:style>
  <w:style w:type="paragraph" w:styleId="Index2">
    <w:name w:val="index 2"/>
    <w:basedOn w:val="Normal"/>
    <w:next w:val="Normal"/>
    <w:autoRedefine/>
    <w:uiPriority w:val="99"/>
    <w:semiHidden/>
    <w:unhideWhenUsed/>
    <w:rsid w:val="006B6119"/>
    <w:pPr>
      <w:spacing w:after="0" w:line="240" w:lineRule="auto"/>
      <w:ind w:left="400" w:hanging="200"/>
    </w:pPr>
  </w:style>
  <w:style w:type="paragraph" w:styleId="Index3">
    <w:name w:val="index 3"/>
    <w:basedOn w:val="Normal"/>
    <w:next w:val="Normal"/>
    <w:autoRedefine/>
    <w:uiPriority w:val="99"/>
    <w:semiHidden/>
    <w:unhideWhenUsed/>
    <w:rsid w:val="006B6119"/>
    <w:pPr>
      <w:spacing w:after="0" w:line="240" w:lineRule="auto"/>
      <w:ind w:left="600" w:hanging="200"/>
    </w:pPr>
  </w:style>
  <w:style w:type="paragraph" w:styleId="Index4">
    <w:name w:val="index 4"/>
    <w:basedOn w:val="Normal"/>
    <w:next w:val="Normal"/>
    <w:autoRedefine/>
    <w:uiPriority w:val="99"/>
    <w:semiHidden/>
    <w:unhideWhenUsed/>
    <w:rsid w:val="006B6119"/>
    <w:pPr>
      <w:spacing w:after="0" w:line="240" w:lineRule="auto"/>
      <w:ind w:left="800" w:hanging="200"/>
    </w:pPr>
  </w:style>
  <w:style w:type="paragraph" w:styleId="Index5">
    <w:name w:val="index 5"/>
    <w:basedOn w:val="Normal"/>
    <w:next w:val="Normal"/>
    <w:autoRedefine/>
    <w:uiPriority w:val="99"/>
    <w:semiHidden/>
    <w:unhideWhenUsed/>
    <w:rsid w:val="006B6119"/>
    <w:pPr>
      <w:spacing w:after="0" w:line="240" w:lineRule="auto"/>
      <w:ind w:left="1000" w:hanging="200"/>
    </w:pPr>
  </w:style>
  <w:style w:type="paragraph" w:styleId="Index6">
    <w:name w:val="index 6"/>
    <w:basedOn w:val="Normal"/>
    <w:next w:val="Normal"/>
    <w:autoRedefine/>
    <w:uiPriority w:val="99"/>
    <w:semiHidden/>
    <w:unhideWhenUsed/>
    <w:rsid w:val="006B6119"/>
    <w:pPr>
      <w:spacing w:after="0" w:line="240" w:lineRule="auto"/>
      <w:ind w:left="1200" w:hanging="200"/>
    </w:pPr>
  </w:style>
  <w:style w:type="paragraph" w:styleId="Index7">
    <w:name w:val="index 7"/>
    <w:basedOn w:val="Normal"/>
    <w:next w:val="Normal"/>
    <w:autoRedefine/>
    <w:uiPriority w:val="99"/>
    <w:semiHidden/>
    <w:unhideWhenUsed/>
    <w:rsid w:val="006B6119"/>
    <w:pPr>
      <w:spacing w:after="0" w:line="240" w:lineRule="auto"/>
      <w:ind w:left="1400" w:hanging="200"/>
    </w:pPr>
  </w:style>
  <w:style w:type="paragraph" w:styleId="Index8">
    <w:name w:val="index 8"/>
    <w:basedOn w:val="Normal"/>
    <w:next w:val="Normal"/>
    <w:autoRedefine/>
    <w:uiPriority w:val="99"/>
    <w:unhideWhenUsed/>
    <w:rsid w:val="006B6119"/>
    <w:pPr>
      <w:spacing w:after="0" w:line="240" w:lineRule="auto"/>
      <w:ind w:left="1600" w:hanging="200"/>
    </w:pPr>
  </w:style>
  <w:style w:type="paragraph" w:styleId="Index9">
    <w:name w:val="index 9"/>
    <w:basedOn w:val="Normal"/>
    <w:next w:val="Normal"/>
    <w:autoRedefine/>
    <w:uiPriority w:val="99"/>
    <w:semiHidden/>
    <w:unhideWhenUsed/>
    <w:rsid w:val="006B6119"/>
    <w:pPr>
      <w:spacing w:after="0" w:line="240" w:lineRule="auto"/>
      <w:ind w:left="1800" w:hanging="200"/>
    </w:pPr>
  </w:style>
  <w:style w:type="paragraph" w:styleId="IndexHeading">
    <w:name w:val="index heading"/>
    <w:basedOn w:val="Normal"/>
    <w:next w:val="Index1"/>
    <w:uiPriority w:val="99"/>
    <w:semiHidden/>
    <w:unhideWhenUsed/>
    <w:rsid w:val="006B6119"/>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rsid w:val="006B6119"/>
    <w:pPr>
      <w:pBdr>
        <w:bottom w:val="single" w:sz="4" w:space="4" w:color="C41230" w:themeColor="accent1"/>
      </w:pBdr>
      <w:spacing w:before="200" w:after="280"/>
      <w:ind w:left="936" w:right="936"/>
    </w:pPr>
    <w:rPr>
      <w:b/>
      <w:bCs/>
      <w:i/>
      <w:iCs/>
      <w:color w:val="C41230" w:themeColor="accent1"/>
    </w:rPr>
  </w:style>
  <w:style w:type="character" w:customStyle="1" w:styleId="IntenseQuoteChar">
    <w:name w:val="Intense Quote Char"/>
    <w:basedOn w:val="DefaultParagraphFont"/>
    <w:link w:val="IntenseQuote"/>
    <w:uiPriority w:val="30"/>
    <w:semiHidden/>
    <w:rsid w:val="006B6119"/>
    <w:rPr>
      <w:rFonts w:ascii="Arial" w:eastAsia="Calibri" w:hAnsi="Arial" w:cs="Times New Roman"/>
      <w:b/>
      <w:bCs/>
      <w:i/>
      <w:iCs/>
      <w:color w:val="C41230" w:themeColor="accent1"/>
      <w:sz w:val="20"/>
      <w:szCs w:val="24"/>
    </w:rPr>
  </w:style>
  <w:style w:type="paragraph" w:styleId="List">
    <w:name w:val="List"/>
    <w:basedOn w:val="Normal"/>
    <w:uiPriority w:val="99"/>
    <w:semiHidden/>
    <w:rsid w:val="006B6119"/>
    <w:pPr>
      <w:ind w:left="283" w:hanging="283"/>
      <w:contextualSpacing/>
    </w:pPr>
  </w:style>
  <w:style w:type="paragraph" w:styleId="List2">
    <w:name w:val="List 2"/>
    <w:basedOn w:val="Normal"/>
    <w:uiPriority w:val="99"/>
    <w:semiHidden/>
    <w:rsid w:val="006B6119"/>
    <w:pPr>
      <w:ind w:left="566" w:hanging="283"/>
      <w:contextualSpacing/>
    </w:pPr>
  </w:style>
  <w:style w:type="paragraph" w:styleId="List3">
    <w:name w:val="List 3"/>
    <w:basedOn w:val="Normal"/>
    <w:uiPriority w:val="99"/>
    <w:semiHidden/>
    <w:rsid w:val="006B6119"/>
    <w:pPr>
      <w:ind w:left="849" w:hanging="283"/>
      <w:contextualSpacing/>
    </w:pPr>
  </w:style>
  <w:style w:type="paragraph" w:styleId="List4">
    <w:name w:val="List 4"/>
    <w:basedOn w:val="Normal"/>
    <w:uiPriority w:val="99"/>
    <w:semiHidden/>
    <w:rsid w:val="006B6119"/>
    <w:pPr>
      <w:ind w:left="1132" w:hanging="283"/>
      <w:contextualSpacing/>
    </w:pPr>
  </w:style>
  <w:style w:type="paragraph" w:styleId="List5">
    <w:name w:val="List 5"/>
    <w:basedOn w:val="Normal"/>
    <w:uiPriority w:val="99"/>
    <w:semiHidden/>
    <w:rsid w:val="006B6119"/>
    <w:pPr>
      <w:ind w:left="1415" w:hanging="283"/>
      <w:contextualSpacing/>
    </w:pPr>
  </w:style>
  <w:style w:type="paragraph" w:styleId="ListBullet">
    <w:name w:val="List Bullet"/>
    <w:basedOn w:val="BodyText"/>
    <w:uiPriority w:val="5"/>
    <w:qFormat/>
    <w:rsid w:val="002D58F7"/>
    <w:pPr>
      <w:numPr>
        <w:numId w:val="8"/>
      </w:numPr>
      <w:spacing w:after="60"/>
    </w:pPr>
    <w:rPr>
      <w:lang w:eastAsia="en-AU"/>
    </w:rPr>
  </w:style>
  <w:style w:type="paragraph" w:styleId="ListBullet2">
    <w:name w:val="List Bullet 2"/>
    <w:basedOn w:val="Normal"/>
    <w:uiPriority w:val="5"/>
    <w:qFormat/>
    <w:rsid w:val="002D58F7"/>
    <w:pPr>
      <w:numPr>
        <w:ilvl w:val="1"/>
        <w:numId w:val="8"/>
      </w:numPr>
      <w:spacing w:after="60" w:line="260" w:lineRule="atLeast"/>
      <w:ind w:left="1560"/>
      <w:jc w:val="left"/>
    </w:pPr>
  </w:style>
  <w:style w:type="paragraph" w:styleId="ListBullet3">
    <w:name w:val="List Bullet 3"/>
    <w:basedOn w:val="Normal"/>
    <w:uiPriority w:val="5"/>
    <w:rsid w:val="006B6119"/>
    <w:pPr>
      <w:numPr>
        <w:ilvl w:val="2"/>
        <w:numId w:val="8"/>
      </w:numPr>
      <w:spacing w:after="60" w:line="260" w:lineRule="atLeast"/>
      <w:jc w:val="left"/>
    </w:pPr>
  </w:style>
  <w:style w:type="paragraph" w:styleId="ListBullet4">
    <w:name w:val="List Bullet 4"/>
    <w:basedOn w:val="Normal"/>
    <w:uiPriority w:val="99"/>
    <w:semiHidden/>
    <w:rsid w:val="006B6119"/>
    <w:pPr>
      <w:contextualSpacing/>
    </w:pPr>
  </w:style>
  <w:style w:type="paragraph" w:styleId="ListBullet5">
    <w:name w:val="List Bullet 5"/>
    <w:basedOn w:val="Normal"/>
    <w:uiPriority w:val="99"/>
    <w:semiHidden/>
    <w:rsid w:val="006B6119"/>
    <w:pPr>
      <w:contextualSpacing/>
    </w:pPr>
  </w:style>
  <w:style w:type="paragraph" w:styleId="ListContinue">
    <w:name w:val="List Continue"/>
    <w:basedOn w:val="Normal"/>
    <w:uiPriority w:val="10"/>
    <w:rsid w:val="006B6119"/>
    <w:pPr>
      <w:spacing w:after="60" w:line="260" w:lineRule="atLeast"/>
      <w:ind w:left="425"/>
      <w:jc w:val="left"/>
    </w:pPr>
  </w:style>
  <w:style w:type="paragraph" w:styleId="ListContinue2">
    <w:name w:val="List Continue 2"/>
    <w:basedOn w:val="Normal"/>
    <w:uiPriority w:val="11"/>
    <w:rsid w:val="006B6119"/>
    <w:pPr>
      <w:spacing w:after="60" w:line="260" w:lineRule="atLeast"/>
      <w:ind w:left="709"/>
      <w:jc w:val="left"/>
    </w:pPr>
  </w:style>
  <w:style w:type="paragraph" w:styleId="ListContinue3">
    <w:name w:val="List Continue 3"/>
    <w:basedOn w:val="Normal"/>
    <w:uiPriority w:val="12"/>
    <w:rsid w:val="006B6119"/>
    <w:pPr>
      <w:spacing w:after="60" w:line="260" w:lineRule="atLeast"/>
      <w:ind w:left="992"/>
      <w:jc w:val="left"/>
    </w:pPr>
  </w:style>
  <w:style w:type="paragraph" w:styleId="ListContinue4">
    <w:name w:val="List Continue 4"/>
    <w:basedOn w:val="Normal"/>
    <w:uiPriority w:val="99"/>
    <w:semiHidden/>
    <w:rsid w:val="006B6119"/>
    <w:pPr>
      <w:spacing w:after="120"/>
      <w:ind w:left="1132"/>
      <w:contextualSpacing/>
    </w:pPr>
  </w:style>
  <w:style w:type="paragraph" w:styleId="ListContinue5">
    <w:name w:val="List Continue 5"/>
    <w:basedOn w:val="Normal"/>
    <w:uiPriority w:val="99"/>
    <w:semiHidden/>
    <w:rsid w:val="006B6119"/>
    <w:pPr>
      <w:spacing w:after="120"/>
      <w:ind w:left="1415"/>
      <w:contextualSpacing/>
    </w:pPr>
  </w:style>
  <w:style w:type="paragraph" w:customStyle="1" w:styleId="ListLetter">
    <w:name w:val="List Letter"/>
    <w:basedOn w:val="ListBullet"/>
    <w:uiPriority w:val="9"/>
    <w:rsid w:val="006B6119"/>
    <w:pPr>
      <w:numPr>
        <w:numId w:val="9"/>
      </w:numPr>
    </w:pPr>
  </w:style>
  <w:style w:type="paragraph" w:styleId="ListNumber">
    <w:name w:val="List Number"/>
    <w:basedOn w:val="Normal"/>
    <w:uiPriority w:val="9"/>
    <w:rsid w:val="006B6119"/>
    <w:pPr>
      <w:numPr>
        <w:numId w:val="10"/>
      </w:numPr>
      <w:spacing w:after="60" w:line="260" w:lineRule="atLeast"/>
      <w:jc w:val="left"/>
    </w:pPr>
    <w:rPr>
      <w:szCs w:val="18"/>
    </w:rPr>
  </w:style>
  <w:style w:type="paragraph" w:styleId="ListNumber2">
    <w:name w:val="List Number 2"/>
    <w:basedOn w:val="Normal"/>
    <w:uiPriority w:val="10"/>
    <w:rsid w:val="006B6119"/>
    <w:pPr>
      <w:numPr>
        <w:ilvl w:val="1"/>
        <w:numId w:val="10"/>
      </w:numPr>
      <w:spacing w:after="60" w:line="260" w:lineRule="atLeast"/>
    </w:pPr>
  </w:style>
  <w:style w:type="paragraph" w:styleId="ListNumber3">
    <w:name w:val="List Number 3"/>
    <w:basedOn w:val="Normal"/>
    <w:uiPriority w:val="11"/>
    <w:rsid w:val="006B6119"/>
    <w:pPr>
      <w:numPr>
        <w:ilvl w:val="2"/>
        <w:numId w:val="10"/>
      </w:numPr>
      <w:spacing w:after="60" w:line="260" w:lineRule="atLeast"/>
    </w:pPr>
  </w:style>
  <w:style w:type="paragraph" w:styleId="ListNumber4">
    <w:name w:val="List Number 4"/>
    <w:basedOn w:val="Normal"/>
    <w:uiPriority w:val="99"/>
    <w:semiHidden/>
    <w:unhideWhenUsed/>
    <w:rsid w:val="006B6119"/>
    <w:pPr>
      <w:contextualSpacing/>
    </w:pPr>
  </w:style>
  <w:style w:type="paragraph" w:styleId="ListNumber5">
    <w:name w:val="List Number 5"/>
    <w:basedOn w:val="Normal"/>
    <w:uiPriority w:val="99"/>
    <w:semiHidden/>
    <w:unhideWhenUsed/>
    <w:rsid w:val="006B6119"/>
    <w:pPr>
      <w:contextualSpacing/>
    </w:pPr>
  </w:style>
  <w:style w:type="paragraph" w:styleId="ListParagraph">
    <w:name w:val="List Paragraph"/>
    <w:basedOn w:val="Normal"/>
    <w:uiPriority w:val="34"/>
    <w:qFormat/>
    <w:rsid w:val="006B6119"/>
    <w:pPr>
      <w:ind w:left="720"/>
      <w:contextualSpacing/>
    </w:pPr>
  </w:style>
  <w:style w:type="paragraph" w:styleId="MacroText">
    <w:name w:val="macro"/>
    <w:link w:val="MacroTextChar"/>
    <w:uiPriority w:val="99"/>
    <w:semiHidden/>
    <w:unhideWhenUsed/>
    <w:rsid w:val="006B6119"/>
    <w:pPr>
      <w:tabs>
        <w:tab w:val="left" w:pos="480"/>
        <w:tab w:val="left" w:pos="960"/>
        <w:tab w:val="left" w:pos="1440"/>
        <w:tab w:val="left" w:pos="1920"/>
        <w:tab w:val="left" w:pos="2400"/>
        <w:tab w:val="left" w:pos="2880"/>
        <w:tab w:val="left" w:pos="3360"/>
        <w:tab w:val="left" w:pos="3840"/>
        <w:tab w:val="left" w:pos="4320"/>
      </w:tabs>
      <w:spacing w:after="0" w:line="300" w:lineRule="auto"/>
      <w:jc w:val="both"/>
    </w:pPr>
    <w:rPr>
      <w:rFonts w:ascii="Consolas" w:eastAsia="Calibri" w:hAnsi="Consolas" w:cs="Times New Roman"/>
      <w:sz w:val="20"/>
      <w:szCs w:val="20"/>
    </w:rPr>
  </w:style>
  <w:style w:type="character" w:customStyle="1" w:styleId="MacroTextChar">
    <w:name w:val="Macro Text Char"/>
    <w:basedOn w:val="DefaultParagraphFont"/>
    <w:link w:val="MacroText"/>
    <w:uiPriority w:val="99"/>
    <w:semiHidden/>
    <w:rsid w:val="006B6119"/>
    <w:rPr>
      <w:rFonts w:ascii="Consolas" w:eastAsia="Calibri" w:hAnsi="Consolas" w:cs="Times New Roman"/>
      <w:sz w:val="20"/>
      <w:szCs w:val="20"/>
    </w:rPr>
  </w:style>
  <w:style w:type="paragraph" w:styleId="MessageHeader">
    <w:name w:val="Message Header"/>
    <w:basedOn w:val="Normal"/>
    <w:link w:val="MessageHeaderChar"/>
    <w:uiPriority w:val="99"/>
    <w:semiHidden/>
    <w:unhideWhenUsed/>
    <w:rsid w:val="006B61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6B6119"/>
    <w:rPr>
      <w:rFonts w:asciiTheme="majorHAnsi" w:eastAsiaTheme="majorEastAsia" w:hAnsiTheme="majorHAnsi" w:cstheme="majorBidi"/>
      <w:sz w:val="24"/>
      <w:szCs w:val="24"/>
      <w:shd w:val="pct20" w:color="auto" w:fill="auto"/>
    </w:rPr>
  </w:style>
  <w:style w:type="paragraph" w:styleId="NoSpacing">
    <w:name w:val="No Spacing"/>
    <w:uiPriority w:val="99"/>
    <w:semiHidden/>
    <w:rsid w:val="001B1E37"/>
    <w:pPr>
      <w:spacing w:after="0" w:line="240" w:lineRule="auto"/>
      <w:jc w:val="both"/>
    </w:pPr>
    <w:rPr>
      <w:rFonts w:eastAsia="Calibri" w:cs="Times New Roman"/>
      <w:sz w:val="20"/>
      <w:szCs w:val="24"/>
    </w:rPr>
  </w:style>
  <w:style w:type="paragraph" w:styleId="NormalWeb">
    <w:name w:val="Normal (Web)"/>
    <w:basedOn w:val="Normal"/>
    <w:uiPriority w:val="99"/>
    <w:semiHidden/>
    <w:rsid w:val="006B6119"/>
    <w:rPr>
      <w:rFonts w:ascii="Times New Roman" w:hAnsi="Times New Roman"/>
      <w:sz w:val="24"/>
    </w:rPr>
  </w:style>
  <w:style w:type="paragraph" w:styleId="NormalIndent">
    <w:name w:val="Normal Indent"/>
    <w:basedOn w:val="Normal"/>
    <w:uiPriority w:val="99"/>
    <w:semiHidden/>
    <w:rsid w:val="006B6119"/>
    <w:pPr>
      <w:ind w:left="720"/>
    </w:pPr>
  </w:style>
  <w:style w:type="paragraph" w:styleId="NoteHeading">
    <w:name w:val="Note Heading"/>
    <w:basedOn w:val="Normal"/>
    <w:next w:val="Normal"/>
    <w:link w:val="NoteHeadingChar"/>
    <w:uiPriority w:val="99"/>
    <w:semiHidden/>
    <w:rsid w:val="006B6119"/>
    <w:pPr>
      <w:spacing w:after="0" w:line="240" w:lineRule="auto"/>
    </w:pPr>
  </w:style>
  <w:style w:type="character" w:customStyle="1" w:styleId="NoteHeadingChar">
    <w:name w:val="Note Heading Char"/>
    <w:basedOn w:val="DefaultParagraphFont"/>
    <w:link w:val="NoteHeading"/>
    <w:uiPriority w:val="99"/>
    <w:semiHidden/>
    <w:rsid w:val="006B6119"/>
    <w:rPr>
      <w:rFonts w:ascii="Arial" w:eastAsia="Calibri" w:hAnsi="Arial" w:cs="Times New Roman"/>
      <w:sz w:val="20"/>
      <w:szCs w:val="24"/>
    </w:rPr>
  </w:style>
  <w:style w:type="paragraph" w:styleId="PlainText">
    <w:name w:val="Plain Text"/>
    <w:basedOn w:val="Normal"/>
    <w:link w:val="PlainTextChar"/>
    <w:uiPriority w:val="99"/>
    <w:semiHidden/>
    <w:unhideWhenUsed/>
    <w:rsid w:val="006B611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6119"/>
    <w:rPr>
      <w:rFonts w:ascii="Consolas" w:eastAsia="Calibri" w:hAnsi="Consolas" w:cs="Times New Roman"/>
      <w:sz w:val="21"/>
      <w:szCs w:val="21"/>
    </w:rPr>
  </w:style>
  <w:style w:type="paragraph" w:styleId="Quote">
    <w:name w:val="Quote"/>
    <w:basedOn w:val="Normal"/>
    <w:next w:val="Normal"/>
    <w:link w:val="QuoteChar"/>
    <w:uiPriority w:val="29"/>
    <w:semiHidden/>
    <w:rsid w:val="006B6119"/>
    <w:pPr>
      <w:spacing w:after="200" w:line="240" w:lineRule="auto"/>
      <w:jc w:val="right"/>
    </w:pPr>
    <w:rPr>
      <w:i/>
      <w:iCs/>
      <w:color w:val="82859C" w:themeColor="accent5"/>
    </w:rPr>
  </w:style>
  <w:style w:type="character" w:customStyle="1" w:styleId="QuoteChar">
    <w:name w:val="Quote Char"/>
    <w:basedOn w:val="DefaultParagraphFont"/>
    <w:link w:val="Quote"/>
    <w:uiPriority w:val="29"/>
    <w:semiHidden/>
    <w:rsid w:val="006B6119"/>
    <w:rPr>
      <w:rFonts w:ascii="Arial" w:eastAsia="Calibri" w:hAnsi="Arial" w:cs="Times New Roman"/>
      <w:i/>
      <w:iCs/>
      <w:color w:val="82859C" w:themeColor="accent5"/>
      <w:sz w:val="20"/>
      <w:szCs w:val="24"/>
    </w:rPr>
  </w:style>
  <w:style w:type="paragraph" w:styleId="Salutation">
    <w:name w:val="Salutation"/>
    <w:basedOn w:val="Normal"/>
    <w:next w:val="Normal"/>
    <w:link w:val="SalutationChar"/>
    <w:uiPriority w:val="99"/>
    <w:semiHidden/>
    <w:unhideWhenUsed/>
    <w:rsid w:val="006B6119"/>
  </w:style>
  <w:style w:type="character" w:customStyle="1" w:styleId="SalutationChar">
    <w:name w:val="Salutation Char"/>
    <w:basedOn w:val="DefaultParagraphFont"/>
    <w:link w:val="Salutation"/>
    <w:uiPriority w:val="99"/>
    <w:semiHidden/>
    <w:rsid w:val="006B6119"/>
    <w:rPr>
      <w:rFonts w:ascii="Arial" w:eastAsia="Calibri" w:hAnsi="Arial" w:cs="Times New Roman"/>
      <w:sz w:val="20"/>
      <w:szCs w:val="24"/>
    </w:rPr>
  </w:style>
  <w:style w:type="paragraph" w:styleId="Signature">
    <w:name w:val="Signature"/>
    <w:basedOn w:val="Normal"/>
    <w:link w:val="SignatureChar"/>
    <w:uiPriority w:val="99"/>
    <w:semiHidden/>
    <w:unhideWhenUsed/>
    <w:rsid w:val="006B6119"/>
    <w:pPr>
      <w:spacing w:after="0" w:line="240" w:lineRule="auto"/>
      <w:ind w:left="4252"/>
    </w:pPr>
  </w:style>
  <w:style w:type="character" w:customStyle="1" w:styleId="SignatureChar">
    <w:name w:val="Signature Char"/>
    <w:basedOn w:val="DefaultParagraphFont"/>
    <w:link w:val="Signature"/>
    <w:uiPriority w:val="99"/>
    <w:semiHidden/>
    <w:rsid w:val="006B6119"/>
    <w:rPr>
      <w:rFonts w:ascii="Arial" w:eastAsia="Calibri" w:hAnsi="Arial" w:cs="Times New Roman"/>
      <w:sz w:val="20"/>
      <w:szCs w:val="24"/>
    </w:rPr>
  </w:style>
  <w:style w:type="paragraph" w:styleId="Subtitle">
    <w:name w:val="Subtitle"/>
    <w:basedOn w:val="Normal"/>
    <w:next w:val="Normal"/>
    <w:link w:val="SubtitleChar"/>
    <w:semiHidden/>
    <w:rsid w:val="006B6119"/>
    <w:pPr>
      <w:keepNext/>
      <w:numPr>
        <w:ilvl w:val="1"/>
      </w:numPr>
      <w:spacing w:after="0" w:line="240" w:lineRule="auto"/>
      <w:jc w:val="left"/>
    </w:pPr>
    <w:rPr>
      <w:rFonts w:eastAsiaTheme="majorEastAsia" w:cstheme="majorBidi"/>
      <w:iCs/>
      <w:caps/>
      <w:color w:val="F47321"/>
      <w:sz w:val="30"/>
      <w:szCs w:val="30"/>
    </w:rPr>
  </w:style>
  <w:style w:type="character" w:customStyle="1" w:styleId="SubtitleChar">
    <w:name w:val="Subtitle Char"/>
    <w:basedOn w:val="DefaultParagraphFont"/>
    <w:link w:val="Subtitle"/>
    <w:semiHidden/>
    <w:rsid w:val="006B6119"/>
    <w:rPr>
      <w:rFonts w:ascii="Arial" w:eastAsiaTheme="majorEastAsia" w:hAnsi="Arial" w:cstheme="majorBidi"/>
      <w:iCs/>
      <w:caps/>
      <w:color w:val="F47321"/>
      <w:sz w:val="30"/>
      <w:szCs w:val="30"/>
    </w:rPr>
  </w:style>
  <w:style w:type="table" w:customStyle="1" w:styleId="Summary">
    <w:name w:val="Summary"/>
    <w:basedOn w:val="TableNormal"/>
    <w:uiPriority w:val="99"/>
    <w:qFormat/>
    <w:rsid w:val="006B6119"/>
    <w:pPr>
      <w:spacing w:after="0" w:line="240" w:lineRule="auto"/>
    </w:pPr>
    <w:rPr>
      <w:rFonts w:ascii="Arial" w:eastAsia="Calibri" w:hAnsi="Arial" w:cs="Times New Roman"/>
      <w:sz w:val="20"/>
      <w:szCs w:val="20"/>
      <w:lang w:eastAsia="en-AU"/>
    </w:rPr>
    <w:tblPr>
      <w:tblBorders>
        <w:top w:val="single" w:sz="4" w:space="0" w:color="F7F5F5"/>
        <w:left w:val="single" w:sz="4" w:space="0" w:color="F7F5F5"/>
        <w:bottom w:val="single" w:sz="4" w:space="0" w:color="F7F5F5"/>
        <w:right w:val="single" w:sz="4" w:space="0" w:color="F7F5F5"/>
      </w:tblBorders>
      <w:tblCellMar>
        <w:top w:w="80" w:type="dxa"/>
        <w:bottom w:w="80" w:type="dxa"/>
      </w:tblCellMar>
    </w:tblPr>
    <w:tcPr>
      <w:shd w:val="clear" w:color="auto" w:fill="F7F5F5"/>
    </w:tcPr>
  </w:style>
  <w:style w:type="paragraph" w:customStyle="1" w:styleId="TableText">
    <w:name w:val="Table Text"/>
    <w:uiPriority w:val="5"/>
    <w:qFormat/>
    <w:rsid w:val="007F1F01"/>
    <w:pPr>
      <w:spacing w:before="40" w:after="40"/>
    </w:pPr>
    <w:rPr>
      <w:sz w:val="18"/>
      <w:szCs w:val="18"/>
    </w:rPr>
  </w:style>
  <w:style w:type="paragraph" w:customStyle="1" w:styleId="TableBullet">
    <w:name w:val="Table Bullet"/>
    <w:basedOn w:val="TableText"/>
    <w:uiPriority w:val="5"/>
    <w:qFormat/>
    <w:rsid w:val="006B6119"/>
    <w:pPr>
      <w:numPr>
        <w:numId w:val="13"/>
      </w:numPr>
      <w:contextualSpacing/>
    </w:pPr>
    <w:rPr>
      <w:lang w:eastAsia="en-AU"/>
    </w:rPr>
  </w:style>
  <w:style w:type="paragraph" w:customStyle="1" w:styleId="TableBullet2">
    <w:name w:val="Table Bullet 2"/>
    <w:basedOn w:val="TableBullet"/>
    <w:uiPriority w:val="5"/>
    <w:rsid w:val="006B6119"/>
    <w:pPr>
      <w:numPr>
        <w:ilvl w:val="1"/>
      </w:numPr>
    </w:pPr>
  </w:style>
  <w:style w:type="paragraph" w:customStyle="1" w:styleId="TableBulletContinue">
    <w:name w:val="Table Bullet Continue"/>
    <w:basedOn w:val="TableBullet"/>
    <w:uiPriority w:val="5"/>
    <w:rsid w:val="006B6119"/>
    <w:pPr>
      <w:numPr>
        <w:numId w:val="0"/>
      </w:numPr>
      <w:ind w:left="170"/>
    </w:pPr>
  </w:style>
  <w:style w:type="paragraph" w:customStyle="1" w:styleId="TableBulletContinue2">
    <w:name w:val="Table Bullet Continue 2"/>
    <w:basedOn w:val="TableBullet2"/>
    <w:uiPriority w:val="5"/>
    <w:rsid w:val="006B6119"/>
    <w:pPr>
      <w:numPr>
        <w:numId w:val="0"/>
      </w:numPr>
      <w:ind w:left="340"/>
    </w:pPr>
  </w:style>
  <w:style w:type="paragraph" w:customStyle="1" w:styleId="TableFootnote">
    <w:name w:val="Table Footnote"/>
    <w:uiPriority w:val="5"/>
    <w:qFormat/>
    <w:rsid w:val="007F1F01"/>
    <w:pPr>
      <w:spacing w:after="240"/>
      <w:contextualSpacing/>
    </w:pPr>
    <w:rPr>
      <w:sz w:val="16"/>
      <w:szCs w:val="18"/>
    </w:rPr>
  </w:style>
  <w:style w:type="table" w:customStyle="1" w:styleId="TableGridLight1">
    <w:name w:val="Table Grid Light1"/>
    <w:basedOn w:val="TableNormal"/>
    <w:uiPriority w:val="40"/>
    <w:rsid w:val="006B6119"/>
    <w:pPr>
      <w:spacing w:after="0" w:line="240" w:lineRule="auto"/>
    </w:pPr>
    <w:rPr>
      <w:rFonts w:ascii="Arial" w:eastAsia="Calibri" w:hAnsi="Arial"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rontCoverSubtitle">
    <w:name w:val="Front Cover Subtitle"/>
    <w:basedOn w:val="Subtitle"/>
    <w:uiPriority w:val="5"/>
    <w:rsid w:val="006B6119"/>
    <w:rPr>
      <w:lang w:eastAsia="en-AU"/>
    </w:rPr>
  </w:style>
  <w:style w:type="paragraph" w:customStyle="1" w:styleId="TableNumber">
    <w:name w:val="Table Number"/>
    <w:basedOn w:val="TableText"/>
    <w:uiPriority w:val="5"/>
    <w:qFormat/>
    <w:rsid w:val="006B6119"/>
    <w:pPr>
      <w:contextualSpacing/>
      <w:jc w:val="right"/>
    </w:pPr>
  </w:style>
  <w:style w:type="paragraph" w:styleId="TableofAuthorities">
    <w:name w:val="table of authorities"/>
    <w:basedOn w:val="Normal"/>
    <w:next w:val="Normal"/>
    <w:uiPriority w:val="99"/>
    <w:semiHidden/>
    <w:unhideWhenUsed/>
    <w:rsid w:val="006B6119"/>
    <w:pPr>
      <w:spacing w:after="0"/>
      <w:ind w:left="200" w:hanging="200"/>
    </w:pPr>
  </w:style>
  <w:style w:type="paragraph" w:styleId="TableofFigures">
    <w:name w:val="table of figures"/>
    <w:basedOn w:val="Normal"/>
    <w:next w:val="Normal"/>
    <w:uiPriority w:val="99"/>
    <w:semiHidden/>
    <w:rsid w:val="006B6119"/>
    <w:pPr>
      <w:tabs>
        <w:tab w:val="right" w:pos="9180"/>
      </w:tabs>
      <w:spacing w:after="57" w:line="288" w:lineRule="auto"/>
      <w:ind w:left="1134" w:right="184" w:hanging="1134"/>
      <w:contextualSpacing/>
    </w:pPr>
    <w:rPr>
      <w:noProof/>
      <w:color w:val="000000" w:themeColor="text2"/>
      <w:sz w:val="18"/>
      <w:szCs w:val="22"/>
    </w:rPr>
  </w:style>
  <w:style w:type="paragraph" w:customStyle="1" w:styleId="TableTextCentred">
    <w:name w:val="Table Text Centred"/>
    <w:basedOn w:val="TableText"/>
    <w:uiPriority w:val="5"/>
    <w:rsid w:val="006B6119"/>
    <w:pPr>
      <w:jc w:val="center"/>
    </w:pPr>
  </w:style>
  <w:style w:type="paragraph" w:customStyle="1" w:styleId="TableTitle">
    <w:name w:val="Table Title"/>
    <w:uiPriority w:val="5"/>
    <w:qFormat/>
    <w:rsid w:val="007F1F01"/>
    <w:pPr>
      <w:keepNext/>
      <w:spacing w:before="60" w:after="60"/>
    </w:pPr>
    <w:rPr>
      <w:color w:val="000000"/>
      <w:sz w:val="18"/>
      <w:szCs w:val="18"/>
      <w:lang w:val="en-US"/>
    </w:rPr>
  </w:style>
  <w:style w:type="paragraph" w:styleId="Title">
    <w:name w:val="Title"/>
    <w:basedOn w:val="Normal"/>
    <w:next w:val="Normal"/>
    <w:link w:val="TitleChar"/>
    <w:uiPriority w:val="10"/>
    <w:qFormat/>
    <w:rsid w:val="00090AF7"/>
    <w:pPr>
      <w:spacing w:after="0" w:line="620" w:lineRule="exact"/>
      <w:contextualSpacing/>
      <w:jc w:val="left"/>
    </w:pPr>
    <w:rPr>
      <w:rFonts w:asciiTheme="majorHAnsi" w:eastAsiaTheme="majorEastAsia" w:hAnsiTheme="majorHAnsi" w:cstheme="majorBidi"/>
      <w:caps/>
      <w:color w:val="360F3C" w:themeColor="accent2"/>
      <w:sz w:val="60"/>
      <w:szCs w:val="52"/>
    </w:rPr>
  </w:style>
  <w:style w:type="character" w:customStyle="1" w:styleId="TitleChar">
    <w:name w:val="Title Char"/>
    <w:basedOn w:val="DefaultParagraphFont"/>
    <w:link w:val="Title"/>
    <w:uiPriority w:val="10"/>
    <w:rsid w:val="00090AF7"/>
    <w:rPr>
      <w:rFonts w:asciiTheme="majorHAnsi" w:eastAsiaTheme="majorEastAsia" w:hAnsiTheme="majorHAnsi" w:cstheme="majorBidi"/>
      <w:caps/>
      <w:color w:val="360F3C" w:themeColor="accent2"/>
      <w:sz w:val="60"/>
      <w:szCs w:val="52"/>
    </w:rPr>
  </w:style>
  <w:style w:type="paragraph" w:styleId="TOCHeading">
    <w:name w:val="TOC Heading"/>
    <w:basedOn w:val="Normal"/>
    <w:next w:val="BodyText"/>
    <w:uiPriority w:val="39"/>
    <w:semiHidden/>
    <w:rsid w:val="00090AF7"/>
    <w:pPr>
      <w:keepNext/>
      <w:keepLines/>
      <w:spacing w:before="120"/>
      <w:jc w:val="left"/>
    </w:pPr>
    <w:rPr>
      <w:rFonts w:asciiTheme="majorHAnsi" w:hAnsiTheme="majorHAnsi"/>
      <w:b/>
      <w:caps/>
      <w:sz w:val="24"/>
    </w:rPr>
  </w:style>
  <w:style w:type="paragraph" w:styleId="TOAHeading">
    <w:name w:val="toa heading"/>
    <w:basedOn w:val="TOCHeading"/>
    <w:next w:val="Normal"/>
    <w:uiPriority w:val="99"/>
    <w:semiHidden/>
    <w:rsid w:val="006B6119"/>
  </w:style>
  <w:style w:type="paragraph" w:styleId="TOC1">
    <w:name w:val="toc 1"/>
    <w:basedOn w:val="Normal"/>
    <w:next w:val="Normal"/>
    <w:uiPriority w:val="39"/>
    <w:rsid w:val="007F1F01"/>
    <w:pPr>
      <w:tabs>
        <w:tab w:val="left" w:pos="567"/>
        <w:tab w:val="right" w:pos="9180"/>
      </w:tabs>
      <w:spacing w:before="160" w:after="20" w:line="288" w:lineRule="auto"/>
      <w:ind w:left="567" w:right="255" w:hanging="567"/>
      <w:jc w:val="left"/>
    </w:pPr>
    <w:rPr>
      <w:rFonts w:eastAsia="Times New Roman"/>
      <w:b/>
      <w:caps/>
      <w:noProof/>
      <w:color w:val="000000" w:themeColor="text2"/>
    </w:rPr>
  </w:style>
  <w:style w:type="paragraph" w:styleId="TOC2">
    <w:name w:val="toc 2"/>
    <w:basedOn w:val="TOC1"/>
    <w:next w:val="Normal"/>
    <w:uiPriority w:val="39"/>
    <w:rsid w:val="006B6119"/>
    <w:pPr>
      <w:spacing w:before="0" w:after="120"/>
      <w:contextualSpacing/>
    </w:pPr>
    <w:rPr>
      <w:rFonts w:eastAsiaTheme="minorEastAsia" w:cstheme="minorBidi"/>
      <w:b w:val="0"/>
      <w:caps w:val="0"/>
      <w:szCs w:val="22"/>
      <w:lang w:eastAsia="en-AU"/>
    </w:rPr>
  </w:style>
  <w:style w:type="paragraph" w:styleId="TOC3">
    <w:name w:val="toc 3"/>
    <w:next w:val="Normal"/>
    <w:uiPriority w:val="39"/>
    <w:rsid w:val="006B6119"/>
    <w:pPr>
      <w:tabs>
        <w:tab w:val="right" w:pos="9180"/>
      </w:tabs>
      <w:spacing w:before="160" w:after="20" w:line="288" w:lineRule="auto"/>
      <w:ind w:right="255"/>
    </w:pPr>
    <w:rPr>
      <w:rFonts w:ascii="Arial Bold" w:eastAsia="Times New Roman" w:hAnsi="Arial Bold" w:cs="Times New Roman"/>
      <w:b/>
      <w:caps/>
      <w:noProof/>
      <w:color w:val="B3E0EE" w:themeColor="accent6"/>
      <w:sz w:val="20"/>
    </w:rPr>
  </w:style>
  <w:style w:type="paragraph" w:styleId="TOC4">
    <w:name w:val="toc 4"/>
    <w:basedOn w:val="Normal"/>
    <w:next w:val="Normal"/>
    <w:uiPriority w:val="39"/>
    <w:rsid w:val="006B6119"/>
    <w:pPr>
      <w:tabs>
        <w:tab w:val="right" w:pos="9177"/>
      </w:tabs>
      <w:spacing w:after="120" w:line="288" w:lineRule="auto"/>
      <w:ind w:right="567"/>
      <w:contextualSpacing/>
    </w:pPr>
    <w:rPr>
      <w:noProof/>
      <w:color w:val="B3E0EE" w:themeColor="accent6"/>
      <w:szCs w:val="18"/>
    </w:rPr>
  </w:style>
  <w:style w:type="paragraph" w:styleId="TOC5">
    <w:name w:val="toc 5"/>
    <w:basedOn w:val="Normal"/>
    <w:next w:val="Normal"/>
    <w:uiPriority w:val="39"/>
    <w:rsid w:val="007F1F01"/>
    <w:pPr>
      <w:tabs>
        <w:tab w:val="left" w:pos="1418"/>
        <w:tab w:val="right" w:pos="9180"/>
      </w:tabs>
      <w:spacing w:before="160" w:after="20" w:line="288" w:lineRule="auto"/>
      <w:ind w:left="1418" w:right="255" w:hanging="1418"/>
      <w:jc w:val="left"/>
    </w:pPr>
    <w:rPr>
      <w:rFonts w:ascii="Arial Bold" w:hAnsi="Arial Bold"/>
      <w:b/>
      <w:caps/>
      <w:noProof/>
      <w:color w:val="000000" w:themeColor="text2"/>
    </w:rPr>
  </w:style>
  <w:style w:type="paragraph" w:styleId="TOC6">
    <w:name w:val="toc 6"/>
    <w:basedOn w:val="Normal"/>
    <w:next w:val="Normal"/>
    <w:uiPriority w:val="39"/>
    <w:rsid w:val="007F1F01"/>
    <w:pPr>
      <w:tabs>
        <w:tab w:val="right" w:leader="dot" w:pos="9174"/>
      </w:tabs>
      <w:spacing w:after="120" w:line="288" w:lineRule="auto"/>
      <w:ind w:left="936" w:right="253" w:hanging="936"/>
      <w:contextualSpacing/>
      <w:jc w:val="left"/>
    </w:pPr>
    <w:rPr>
      <w:noProof/>
      <w:color w:val="000000" w:themeColor="text2"/>
      <w:szCs w:val="18"/>
    </w:rPr>
  </w:style>
  <w:style w:type="paragraph" w:styleId="TOC7">
    <w:name w:val="toc 7"/>
    <w:basedOn w:val="Normal"/>
    <w:next w:val="Normal"/>
    <w:autoRedefine/>
    <w:uiPriority w:val="99"/>
    <w:semiHidden/>
    <w:rsid w:val="006B6119"/>
    <w:pPr>
      <w:spacing w:after="100"/>
      <w:ind w:left="1200"/>
    </w:pPr>
  </w:style>
  <w:style w:type="paragraph" w:styleId="TOC8">
    <w:name w:val="toc 8"/>
    <w:basedOn w:val="Normal"/>
    <w:next w:val="Normal"/>
    <w:autoRedefine/>
    <w:uiPriority w:val="99"/>
    <w:semiHidden/>
    <w:rsid w:val="006B6119"/>
    <w:pPr>
      <w:spacing w:after="100"/>
      <w:ind w:left="1400"/>
    </w:pPr>
  </w:style>
  <w:style w:type="paragraph" w:styleId="TOC9">
    <w:name w:val="toc 9"/>
    <w:basedOn w:val="Normal"/>
    <w:next w:val="Normal"/>
    <w:autoRedefine/>
    <w:uiPriority w:val="99"/>
    <w:semiHidden/>
    <w:rsid w:val="006B6119"/>
    <w:pPr>
      <w:spacing w:after="100"/>
      <w:ind w:left="1600"/>
    </w:pPr>
  </w:style>
  <w:style w:type="paragraph" w:customStyle="1" w:styleId="ImprintFooter1">
    <w:name w:val="ImprintFooter1"/>
    <w:semiHidden/>
    <w:rsid w:val="006B6119"/>
    <w:pPr>
      <w:pBdr>
        <w:bottom w:val="single" w:sz="6" w:space="2" w:color="auto"/>
      </w:pBdr>
      <w:tabs>
        <w:tab w:val="right" w:pos="9185"/>
      </w:tabs>
      <w:spacing w:after="80" w:line="240" w:lineRule="auto"/>
    </w:pPr>
    <w:rPr>
      <w:rFonts w:ascii="Tw Cen MT" w:eastAsia="Calibri" w:hAnsi="Tw Cen MT" w:cs="Times New Roman"/>
      <w:noProof/>
      <w:sz w:val="16"/>
      <w:szCs w:val="24"/>
      <w:lang w:eastAsia="en-AU"/>
    </w:rPr>
  </w:style>
  <w:style w:type="paragraph" w:customStyle="1" w:styleId="ImprintFooter2">
    <w:name w:val="ImprintFooter2"/>
    <w:basedOn w:val="Normal"/>
    <w:semiHidden/>
    <w:rsid w:val="000C6060"/>
    <w:pPr>
      <w:tabs>
        <w:tab w:val="center" w:pos="1938"/>
        <w:tab w:val="center" w:pos="3135"/>
        <w:tab w:val="center" w:pos="4218"/>
        <w:tab w:val="center" w:pos="5757"/>
        <w:tab w:val="center" w:pos="7296"/>
        <w:tab w:val="right" w:pos="9185"/>
      </w:tabs>
      <w:spacing w:after="80"/>
      <w:jc w:val="left"/>
    </w:pPr>
    <w:rPr>
      <w:rFonts w:ascii="Tw Cen MT" w:hAnsi="Tw Cen MT"/>
      <w:kern w:val="18"/>
      <w:sz w:val="16"/>
      <w:szCs w:val="19"/>
    </w:rPr>
  </w:style>
  <w:style w:type="paragraph" w:customStyle="1" w:styleId="TableList">
    <w:name w:val="Table List"/>
    <w:uiPriority w:val="3"/>
    <w:semiHidden/>
    <w:rsid w:val="00185897"/>
    <w:pPr>
      <w:numPr>
        <w:numId w:val="14"/>
      </w:numPr>
      <w:tabs>
        <w:tab w:val="left" w:pos="170"/>
      </w:tabs>
      <w:spacing w:before="40" w:after="40" w:line="240" w:lineRule="auto"/>
    </w:pPr>
    <w:rPr>
      <w:rFonts w:eastAsia="Calibri" w:cs="Times New Roman"/>
      <w:sz w:val="18"/>
      <w:szCs w:val="24"/>
      <w:lang w:eastAsia="en-AU"/>
    </w:rPr>
  </w:style>
  <w:style w:type="table" w:customStyle="1" w:styleId="AEMOTable">
    <w:name w:val="AEMO Table"/>
    <w:basedOn w:val="TableNormal"/>
    <w:uiPriority w:val="99"/>
    <w:rsid w:val="00185897"/>
    <w:pPr>
      <w:spacing w:after="0" w:line="240" w:lineRule="auto"/>
    </w:pPr>
    <w:tblPr>
      <w:tblStyleRowBandSize w:val="1"/>
      <w:tblStyleColBandSize w:val="1"/>
      <w:tblBorders>
        <w:insideH w:val="single" w:sz="8" w:space="0" w:color="FFFFFF" w:themeColor="background1"/>
        <w:insideV w:val="single" w:sz="8" w:space="0" w:color="FFFFFF" w:themeColor="background1"/>
      </w:tblBorders>
    </w:tblPr>
    <w:trPr>
      <w:cantSplit/>
    </w:trPr>
    <w:tcPr>
      <w:shd w:val="clear" w:color="auto" w:fill="F2F2F2" w:themeFill="background1" w:themeFillShade="F2"/>
    </w:tcPr>
    <w:tblStylePr w:type="firstRow">
      <w:rPr>
        <w:b/>
      </w:rPr>
      <w:tblPr/>
      <w:trPr>
        <w:tblHeader/>
      </w:trPr>
      <w:tcPr>
        <w:shd w:val="clear" w:color="auto" w:fill="BFBFBF" w:themeFill="background1" w:themeFillShade="BF"/>
      </w:tcPr>
    </w:tblStylePr>
    <w:tblStylePr w:type="firstCol">
      <w:rPr>
        <w:b/>
        <w:color w:val="FFFFFF" w:themeColor="background1"/>
      </w:rPr>
      <w:tblPr/>
      <w:tcPr>
        <w:shd w:val="clear" w:color="auto" w:fill="134555" w:themeFill="accent6" w:themeFillShade="40"/>
      </w:tcPr>
    </w:tblStylePr>
    <w:tblStylePr w:type="band1Vert">
      <w:tblPr/>
      <w:tcPr>
        <w:shd w:val="clear" w:color="auto" w:fill="F9F8F6"/>
      </w:tcPr>
    </w:tblStylePr>
    <w:tblStylePr w:type="band2Vert">
      <w:tblPr/>
      <w:tcPr>
        <w:shd w:val="clear" w:color="auto" w:fill="E5E6EB" w:themeFill="accent5" w:themeFillTint="33"/>
      </w:tcPr>
    </w:tblStylePr>
    <w:tblStylePr w:type="band1Horz">
      <w:tblPr/>
      <w:tcPr>
        <w:shd w:val="clear" w:color="auto" w:fill="E5E6EB" w:themeFill="accent5" w:themeFillTint="33"/>
      </w:tcPr>
    </w:tblStylePr>
    <w:tblStylePr w:type="band2Horz">
      <w:tblPr/>
      <w:tcPr>
        <w:shd w:val="clear" w:color="auto" w:fill="F8F8F8"/>
      </w:tcPr>
    </w:tblStylePr>
  </w:style>
  <w:style w:type="paragraph" w:customStyle="1" w:styleId="ListLetter2">
    <w:name w:val="List Letter 2"/>
    <w:basedOn w:val="ListLetter"/>
    <w:uiPriority w:val="10"/>
    <w:rsid w:val="006B6119"/>
    <w:pPr>
      <w:numPr>
        <w:ilvl w:val="1"/>
      </w:numPr>
    </w:pPr>
  </w:style>
  <w:style w:type="paragraph" w:customStyle="1" w:styleId="ListLetter3">
    <w:name w:val="List Letter 3"/>
    <w:basedOn w:val="ListLetter2"/>
    <w:uiPriority w:val="11"/>
    <w:rsid w:val="006B6119"/>
    <w:pPr>
      <w:numPr>
        <w:ilvl w:val="2"/>
      </w:numPr>
    </w:pPr>
  </w:style>
  <w:style w:type="paragraph" w:customStyle="1" w:styleId="DocRef">
    <w:name w:val="DocRef"/>
    <w:basedOn w:val="TableText"/>
    <w:uiPriority w:val="5"/>
    <w:rsid w:val="006B6119"/>
  </w:style>
  <w:style w:type="paragraph" w:customStyle="1" w:styleId="EffectDate">
    <w:name w:val="EffectDate"/>
    <w:uiPriority w:val="5"/>
    <w:rsid w:val="006B6119"/>
    <w:pPr>
      <w:spacing w:before="40" w:after="40" w:line="240" w:lineRule="auto"/>
    </w:pPr>
    <w:rPr>
      <w:rFonts w:eastAsia="Calibri" w:cs="Times New Roman"/>
      <w:sz w:val="16"/>
      <w:szCs w:val="24"/>
    </w:rPr>
  </w:style>
  <w:style w:type="paragraph" w:customStyle="1" w:styleId="ParaNum1">
    <w:name w:val="ParaNum1"/>
    <w:basedOn w:val="BodyText"/>
    <w:rsid w:val="00E85C7E"/>
    <w:pPr>
      <w:numPr>
        <w:ilvl w:val="3"/>
        <w:numId w:val="1"/>
      </w:numPr>
    </w:pPr>
  </w:style>
  <w:style w:type="paragraph" w:customStyle="1" w:styleId="ParaNum2">
    <w:name w:val="ParaNum2"/>
    <w:basedOn w:val="ParaNum1"/>
    <w:rsid w:val="00E85C7E"/>
    <w:pPr>
      <w:numPr>
        <w:ilvl w:val="4"/>
      </w:numPr>
    </w:pPr>
  </w:style>
  <w:style w:type="paragraph" w:customStyle="1" w:styleId="ParaNum3">
    <w:name w:val="ParaNum3"/>
    <w:basedOn w:val="ParaNum2"/>
    <w:rsid w:val="00E85C7E"/>
    <w:pPr>
      <w:numPr>
        <w:ilvl w:val="5"/>
      </w:numPr>
    </w:pPr>
  </w:style>
  <w:style w:type="paragraph" w:customStyle="1" w:styleId="ParaFlw1">
    <w:name w:val="ParaFlw1"/>
    <w:basedOn w:val="Normal"/>
    <w:uiPriority w:val="5"/>
    <w:qFormat/>
    <w:rsid w:val="006B6119"/>
    <w:pPr>
      <w:spacing w:after="120" w:line="240" w:lineRule="auto"/>
      <w:ind w:left="1278"/>
      <w:jc w:val="left"/>
    </w:pPr>
    <w:rPr>
      <w:rFonts w:eastAsiaTheme="minorHAnsi" w:cstheme="minorBidi"/>
      <w:szCs w:val="22"/>
    </w:rPr>
  </w:style>
  <w:style w:type="paragraph" w:customStyle="1" w:styleId="ParaFlw2">
    <w:name w:val="ParaFlw2"/>
    <w:basedOn w:val="Normal"/>
    <w:uiPriority w:val="5"/>
    <w:qFormat/>
    <w:rsid w:val="006B6119"/>
    <w:pPr>
      <w:spacing w:after="120" w:line="240" w:lineRule="auto"/>
      <w:ind w:left="1843"/>
      <w:jc w:val="left"/>
    </w:pPr>
    <w:rPr>
      <w:rFonts w:eastAsiaTheme="minorHAnsi" w:cstheme="minorBidi"/>
      <w:szCs w:val="22"/>
    </w:rPr>
  </w:style>
  <w:style w:type="paragraph" w:customStyle="1" w:styleId="ParaFlw3">
    <w:name w:val="ParaFlw3"/>
    <w:basedOn w:val="Normal"/>
    <w:uiPriority w:val="5"/>
    <w:qFormat/>
    <w:rsid w:val="006B6119"/>
    <w:pPr>
      <w:spacing w:after="120" w:line="240" w:lineRule="auto"/>
      <w:ind w:left="2414"/>
      <w:jc w:val="left"/>
    </w:pPr>
    <w:rPr>
      <w:rFonts w:eastAsiaTheme="minorHAnsi" w:cstheme="minorBidi"/>
      <w:szCs w:val="22"/>
    </w:rPr>
  </w:style>
  <w:style w:type="paragraph" w:customStyle="1" w:styleId="Lista">
    <w:name w:val="List (a)"/>
    <w:basedOn w:val="Normal"/>
    <w:qFormat/>
    <w:rsid w:val="006B6119"/>
    <w:pPr>
      <w:numPr>
        <w:ilvl w:val="1"/>
        <w:numId w:val="11"/>
      </w:numPr>
      <w:spacing w:after="120" w:line="240" w:lineRule="auto"/>
      <w:jc w:val="left"/>
    </w:pPr>
    <w:rPr>
      <w:rFonts w:eastAsiaTheme="minorHAnsi" w:cstheme="minorBidi"/>
      <w:szCs w:val="22"/>
    </w:rPr>
  </w:style>
  <w:style w:type="paragraph" w:customStyle="1" w:styleId="Listi">
    <w:name w:val="List (i)"/>
    <w:basedOn w:val="Normal"/>
    <w:uiPriority w:val="1"/>
    <w:qFormat/>
    <w:rsid w:val="006B6119"/>
    <w:pPr>
      <w:numPr>
        <w:ilvl w:val="2"/>
        <w:numId w:val="11"/>
      </w:numPr>
      <w:spacing w:after="120" w:line="240" w:lineRule="auto"/>
      <w:jc w:val="left"/>
    </w:pPr>
    <w:rPr>
      <w:rFonts w:eastAsiaTheme="minorHAnsi" w:cstheme="minorBidi"/>
      <w:szCs w:val="22"/>
    </w:rPr>
  </w:style>
  <w:style w:type="paragraph" w:customStyle="1" w:styleId="ListA0">
    <w:name w:val="List (A)"/>
    <w:basedOn w:val="Normal"/>
    <w:uiPriority w:val="2"/>
    <w:qFormat/>
    <w:rsid w:val="006B6119"/>
    <w:pPr>
      <w:numPr>
        <w:ilvl w:val="3"/>
        <w:numId w:val="11"/>
      </w:numPr>
      <w:spacing w:after="120" w:line="240" w:lineRule="auto"/>
      <w:jc w:val="left"/>
    </w:pPr>
    <w:rPr>
      <w:rFonts w:eastAsiaTheme="minorHAnsi" w:cstheme="minorBidi"/>
      <w:szCs w:val="22"/>
    </w:rPr>
  </w:style>
  <w:style w:type="paragraph" w:customStyle="1" w:styleId="ParaFlw0">
    <w:name w:val="ParaFlw0"/>
    <w:basedOn w:val="Normal"/>
    <w:uiPriority w:val="5"/>
    <w:qFormat/>
    <w:rsid w:val="006B6119"/>
    <w:pPr>
      <w:spacing w:after="120" w:line="240" w:lineRule="auto"/>
      <w:ind w:left="710"/>
      <w:jc w:val="left"/>
    </w:pPr>
    <w:rPr>
      <w:rFonts w:eastAsiaTheme="minorHAnsi" w:cstheme="minorBidi"/>
      <w:szCs w:val="22"/>
    </w:rPr>
  </w:style>
  <w:style w:type="character" w:styleId="CommentReference">
    <w:name w:val="annotation reference"/>
    <w:basedOn w:val="DefaultParagraphFont"/>
    <w:uiPriority w:val="99"/>
    <w:unhideWhenUsed/>
    <w:rsid w:val="006B6119"/>
    <w:rPr>
      <w:sz w:val="16"/>
      <w:szCs w:val="16"/>
    </w:rPr>
  </w:style>
  <w:style w:type="table" w:customStyle="1" w:styleId="LegalFooterTable">
    <w:name w:val="LegalFooterTable"/>
    <w:basedOn w:val="TableNormal"/>
    <w:uiPriority w:val="99"/>
    <w:rsid w:val="006B6119"/>
    <w:pPr>
      <w:spacing w:after="0" w:line="240" w:lineRule="auto"/>
    </w:pPr>
    <w:tblPr>
      <w:tblCellMar>
        <w:left w:w="0" w:type="dxa"/>
        <w:right w:w="0" w:type="dxa"/>
      </w:tblCellMar>
    </w:tblPr>
  </w:style>
  <w:style w:type="paragraph" w:customStyle="1" w:styleId="ManNum1">
    <w:name w:val="ManNum1"/>
    <w:basedOn w:val="Normal"/>
    <w:uiPriority w:val="5"/>
    <w:qFormat/>
    <w:rsid w:val="006B6119"/>
    <w:pPr>
      <w:tabs>
        <w:tab w:val="left" w:pos="1278"/>
      </w:tabs>
      <w:spacing w:after="120" w:line="240" w:lineRule="auto"/>
      <w:ind w:left="1278" w:hanging="568"/>
      <w:jc w:val="left"/>
    </w:pPr>
    <w:rPr>
      <w:rFonts w:eastAsiaTheme="minorHAnsi" w:cstheme="minorBidi"/>
      <w:sz w:val="22"/>
      <w:szCs w:val="22"/>
    </w:rPr>
  </w:style>
  <w:style w:type="paragraph" w:customStyle="1" w:styleId="ManNum2">
    <w:name w:val="ManNum2"/>
    <w:basedOn w:val="Normal"/>
    <w:uiPriority w:val="5"/>
    <w:qFormat/>
    <w:rsid w:val="006B6119"/>
    <w:pPr>
      <w:tabs>
        <w:tab w:val="left" w:pos="1846"/>
      </w:tabs>
      <w:spacing w:after="120" w:line="240" w:lineRule="auto"/>
      <w:ind w:left="1846" w:hanging="568"/>
      <w:jc w:val="left"/>
    </w:pPr>
    <w:rPr>
      <w:rFonts w:eastAsiaTheme="minorHAnsi" w:cstheme="minorBidi"/>
      <w:sz w:val="22"/>
      <w:szCs w:val="22"/>
    </w:rPr>
  </w:style>
  <w:style w:type="paragraph" w:customStyle="1" w:styleId="ManNum3">
    <w:name w:val="ManNum3"/>
    <w:basedOn w:val="Normal"/>
    <w:uiPriority w:val="5"/>
    <w:qFormat/>
    <w:rsid w:val="006B6119"/>
    <w:pPr>
      <w:tabs>
        <w:tab w:val="left" w:pos="2414"/>
      </w:tabs>
      <w:spacing w:after="120" w:line="240" w:lineRule="auto"/>
      <w:ind w:left="2414" w:hanging="568"/>
      <w:jc w:val="left"/>
    </w:pPr>
    <w:rPr>
      <w:rFonts w:eastAsiaTheme="minorHAnsi" w:cstheme="minorBidi"/>
      <w:sz w:val="22"/>
      <w:szCs w:val="22"/>
    </w:rPr>
  </w:style>
  <w:style w:type="paragraph" w:customStyle="1" w:styleId="ResetPara">
    <w:name w:val="ResetPara"/>
    <w:next w:val="BodyText"/>
    <w:uiPriority w:val="99"/>
    <w:qFormat/>
    <w:rsid w:val="0019250F"/>
    <w:pPr>
      <w:keepNext/>
      <w:numPr>
        <w:numId w:val="11"/>
      </w:numPr>
      <w:spacing w:after="0" w:line="240" w:lineRule="auto"/>
    </w:pPr>
    <w:rPr>
      <w:rFonts w:eastAsiaTheme="majorEastAsia" w:cstheme="majorBidi"/>
      <w:color w:val="FF0000"/>
      <w:sz w:val="8"/>
      <w:szCs w:val="32"/>
    </w:rPr>
  </w:style>
  <w:style w:type="paragraph" w:customStyle="1" w:styleId="SchedHdg1">
    <w:name w:val="SchedHdg 1"/>
    <w:next w:val="ResetPara"/>
    <w:uiPriority w:val="8"/>
    <w:qFormat/>
    <w:rsid w:val="00DD729B"/>
    <w:pPr>
      <w:numPr>
        <w:ilvl w:val="1"/>
        <w:numId w:val="12"/>
      </w:numPr>
      <w:outlineLvl w:val="0"/>
    </w:pPr>
    <w:rPr>
      <w:rFonts w:asciiTheme="majorHAnsi" w:hAnsiTheme="majorHAnsi"/>
      <w:b/>
      <w:color w:val="222324" w:themeColor="text1"/>
      <w:sz w:val="24"/>
    </w:rPr>
  </w:style>
  <w:style w:type="paragraph" w:customStyle="1" w:styleId="SchedHdg2">
    <w:name w:val="SchedHdg 2"/>
    <w:next w:val="ResetPara"/>
    <w:uiPriority w:val="8"/>
    <w:qFormat/>
    <w:rsid w:val="00DD729B"/>
    <w:pPr>
      <w:numPr>
        <w:ilvl w:val="2"/>
        <w:numId w:val="12"/>
      </w:numPr>
      <w:outlineLvl w:val="1"/>
    </w:pPr>
    <w:rPr>
      <w:rFonts w:asciiTheme="majorHAnsi" w:hAnsiTheme="majorHAnsi"/>
      <w:b/>
      <w:color w:val="222324" w:themeColor="text1"/>
      <w:sz w:val="20"/>
    </w:rPr>
  </w:style>
  <w:style w:type="paragraph" w:customStyle="1" w:styleId="ScheduleSection">
    <w:name w:val="ScheduleSection"/>
    <w:basedOn w:val="Normal"/>
    <w:next w:val="ResetPara"/>
    <w:uiPriority w:val="8"/>
    <w:qFormat/>
    <w:rsid w:val="00DD729B"/>
    <w:pPr>
      <w:numPr>
        <w:numId w:val="12"/>
      </w:numPr>
      <w:spacing w:after="120" w:line="240" w:lineRule="auto"/>
      <w:jc w:val="left"/>
      <w:outlineLvl w:val="0"/>
    </w:pPr>
    <w:rPr>
      <w:rFonts w:asciiTheme="majorHAnsi" w:eastAsiaTheme="minorHAnsi" w:hAnsiTheme="majorHAnsi" w:cstheme="minorBidi"/>
      <w:b/>
      <w:caps/>
      <w:color w:val="222324" w:themeColor="text1"/>
      <w:sz w:val="22"/>
      <w:szCs w:val="22"/>
    </w:rPr>
  </w:style>
  <w:style w:type="paragraph" w:customStyle="1" w:styleId="TxtFlw0">
    <w:name w:val="TxtFlw0"/>
    <w:basedOn w:val="Normal"/>
    <w:qFormat/>
    <w:rsid w:val="006B6119"/>
    <w:pPr>
      <w:spacing w:after="120" w:line="240" w:lineRule="auto"/>
      <w:ind w:left="710"/>
      <w:jc w:val="left"/>
    </w:pPr>
    <w:rPr>
      <w:rFonts w:eastAsiaTheme="minorHAnsi" w:cstheme="minorBidi"/>
      <w:szCs w:val="22"/>
    </w:rPr>
  </w:style>
  <w:style w:type="paragraph" w:customStyle="1" w:styleId="TxtNum1">
    <w:name w:val="TxtNum1"/>
    <w:basedOn w:val="Normal"/>
    <w:qFormat/>
    <w:rsid w:val="006B6119"/>
    <w:pPr>
      <w:tabs>
        <w:tab w:val="num" w:pos="1276"/>
      </w:tabs>
      <w:spacing w:after="120" w:line="240" w:lineRule="auto"/>
      <w:ind w:left="1276" w:hanging="567"/>
      <w:jc w:val="left"/>
    </w:pPr>
    <w:rPr>
      <w:rFonts w:eastAsiaTheme="minorHAnsi" w:cstheme="minorBidi"/>
      <w:sz w:val="22"/>
      <w:szCs w:val="22"/>
    </w:rPr>
  </w:style>
  <w:style w:type="paragraph" w:customStyle="1" w:styleId="TxtNum2">
    <w:name w:val="TxtNum2"/>
    <w:basedOn w:val="Normal"/>
    <w:qFormat/>
    <w:rsid w:val="006B6119"/>
    <w:pPr>
      <w:tabs>
        <w:tab w:val="num" w:pos="1843"/>
      </w:tabs>
      <w:spacing w:after="120" w:line="240" w:lineRule="auto"/>
      <w:ind w:left="1843" w:hanging="567"/>
      <w:jc w:val="left"/>
    </w:pPr>
    <w:rPr>
      <w:rFonts w:eastAsiaTheme="minorHAnsi" w:cstheme="minorBidi"/>
      <w:sz w:val="22"/>
      <w:szCs w:val="22"/>
    </w:rPr>
  </w:style>
  <w:style w:type="paragraph" w:customStyle="1" w:styleId="TxtNum3">
    <w:name w:val="TxtNum3"/>
    <w:basedOn w:val="Normal"/>
    <w:qFormat/>
    <w:rsid w:val="006B6119"/>
    <w:pPr>
      <w:tabs>
        <w:tab w:val="num" w:pos="1843"/>
      </w:tabs>
      <w:spacing w:after="120" w:line="240" w:lineRule="auto"/>
      <w:ind w:left="2410" w:hanging="567"/>
      <w:jc w:val="left"/>
    </w:pPr>
    <w:rPr>
      <w:rFonts w:eastAsiaTheme="minorHAnsi" w:cstheme="minorBidi"/>
      <w:sz w:val="22"/>
      <w:szCs w:val="22"/>
    </w:rPr>
  </w:style>
  <w:style w:type="paragraph" w:customStyle="1" w:styleId="StyleFigureLeft">
    <w:name w:val="Style Figure + Left"/>
    <w:basedOn w:val="Figure"/>
    <w:rsid w:val="007F1F01"/>
    <w:pPr>
      <w:jc w:val="left"/>
    </w:pPr>
    <w:rPr>
      <w:rFonts w:eastAsia="Times New Roman"/>
      <w:szCs w:val="20"/>
    </w:rPr>
  </w:style>
  <w:style w:type="table" w:customStyle="1" w:styleId="TableGrid1">
    <w:name w:val="Table Grid1"/>
    <w:rsid w:val="003E5D34"/>
    <w:pPr>
      <w:spacing w:after="0" w:line="240" w:lineRule="auto"/>
    </w:pPr>
    <w:rPr>
      <w:rFonts w:eastAsiaTheme="minorEastAsia"/>
      <w:lang w:eastAsia="en-AU"/>
    </w:rPr>
    <w:tblPr>
      <w:tblCellMar>
        <w:top w:w="0" w:type="dxa"/>
        <w:left w:w="0" w:type="dxa"/>
        <w:bottom w:w="0" w:type="dxa"/>
        <w:right w:w="0" w:type="dxa"/>
      </w:tblCellMar>
    </w:tblPr>
  </w:style>
  <w:style w:type="paragraph" w:customStyle="1" w:styleId="AdditionalHeading1">
    <w:name w:val="Additional Heading1"/>
    <w:basedOn w:val="Heading1"/>
    <w:qFormat/>
    <w:rsid w:val="005905F8"/>
    <w:pPr>
      <w:numPr>
        <w:numId w:val="16"/>
      </w:numPr>
      <w:ind w:left="851" w:hanging="851"/>
    </w:pPr>
    <w:rPr>
      <w:rFonts w:eastAsia="Arial"/>
    </w:rPr>
  </w:style>
  <w:style w:type="table" w:customStyle="1" w:styleId="AEMOTable1">
    <w:name w:val="AEMO Table1"/>
    <w:basedOn w:val="TableNormal"/>
    <w:uiPriority w:val="99"/>
    <w:rsid w:val="00AC1A36"/>
    <w:pPr>
      <w:spacing w:after="0" w:line="240" w:lineRule="auto"/>
    </w:pPr>
    <w:tblPr>
      <w:tblStyleRowBandSize w:val="1"/>
      <w:tblStyleColBandSize w:val="1"/>
      <w:tblBorders>
        <w:insideH w:val="single" w:sz="8" w:space="0" w:color="FFFFFF" w:themeColor="background1"/>
        <w:insideV w:val="single" w:sz="8" w:space="0" w:color="FFFFFF" w:themeColor="background1"/>
      </w:tblBorders>
    </w:tblPr>
    <w:trPr>
      <w:cantSplit/>
    </w:trPr>
    <w:tcPr>
      <w:shd w:val="clear" w:color="auto" w:fill="F2F2F2" w:themeFill="background1" w:themeFillShade="F2"/>
    </w:tcPr>
    <w:tblStylePr w:type="firstRow">
      <w:rPr>
        <w:b/>
      </w:rPr>
      <w:tblPr/>
      <w:trPr>
        <w:tblHeader/>
      </w:trPr>
      <w:tcPr>
        <w:shd w:val="clear" w:color="auto" w:fill="BFBFBF" w:themeFill="background1" w:themeFillShade="BF"/>
      </w:tcPr>
    </w:tblStylePr>
    <w:tblStylePr w:type="firstCol">
      <w:rPr>
        <w:b/>
        <w:color w:val="FFFFFF" w:themeColor="background1"/>
      </w:rPr>
      <w:tblPr/>
      <w:tcPr>
        <w:shd w:val="clear" w:color="auto" w:fill="134555" w:themeFill="accent6" w:themeFillShade="40"/>
      </w:tcPr>
    </w:tblStylePr>
    <w:tblStylePr w:type="band1Vert">
      <w:tblPr/>
      <w:tcPr>
        <w:shd w:val="clear" w:color="auto" w:fill="F9F8F6"/>
      </w:tcPr>
    </w:tblStylePr>
    <w:tblStylePr w:type="band2Vert">
      <w:tblPr/>
      <w:tcPr>
        <w:shd w:val="clear" w:color="auto" w:fill="E5E6EB" w:themeFill="accent5" w:themeFillTint="33"/>
      </w:tcPr>
    </w:tblStylePr>
    <w:tblStylePr w:type="band1Horz">
      <w:tblPr/>
      <w:tcPr>
        <w:shd w:val="clear" w:color="auto" w:fill="E5E6EB" w:themeFill="accent5" w:themeFillTint="33"/>
      </w:tcPr>
    </w:tblStylePr>
    <w:tblStylePr w:type="band2Horz">
      <w:tblPr/>
      <w:tcPr>
        <w:shd w:val="clear" w:color="auto" w:fill="F8F8F8"/>
      </w:tcPr>
    </w:tblStylePr>
  </w:style>
  <w:style w:type="character" w:styleId="PlaceholderText">
    <w:name w:val="Placeholder Text"/>
    <w:basedOn w:val="DefaultParagraphFont"/>
    <w:uiPriority w:val="99"/>
    <w:semiHidden/>
    <w:rsid w:val="00C51168"/>
    <w:rPr>
      <w:color w:val="808080"/>
    </w:rPr>
  </w:style>
  <w:style w:type="character" w:styleId="Mention">
    <w:name w:val="Mention"/>
    <w:basedOn w:val="DefaultParagraphFont"/>
    <w:uiPriority w:val="99"/>
    <w:unhideWhenUsed/>
    <w:rsid w:val="00944065"/>
    <w:rPr>
      <w:color w:val="2B579A"/>
      <w:shd w:val="clear" w:color="auto" w:fill="E6E6E6"/>
    </w:rPr>
  </w:style>
  <w:style w:type="character" w:styleId="UnresolvedMention">
    <w:name w:val="Unresolved Mention"/>
    <w:basedOn w:val="DefaultParagraphFont"/>
    <w:uiPriority w:val="99"/>
    <w:unhideWhenUsed/>
    <w:rsid w:val="000045B5"/>
    <w:rPr>
      <w:color w:val="605E5C"/>
      <w:shd w:val="clear" w:color="auto" w:fill="E1DFDD"/>
    </w:rPr>
  </w:style>
  <w:style w:type="paragraph" w:styleId="Revision">
    <w:name w:val="Revision"/>
    <w:hidden/>
    <w:uiPriority w:val="99"/>
    <w:semiHidden/>
    <w:rsid w:val="00D63915"/>
    <w:pPr>
      <w:spacing w:after="0" w:line="240" w:lineRule="auto"/>
    </w:pPr>
    <w:rPr>
      <w:rFonts w:eastAsia="Calibri" w:cs="Times New Roman"/>
      <w:sz w:val="20"/>
      <w:szCs w:val="24"/>
    </w:rPr>
  </w:style>
  <w:style w:type="character" w:styleId="Strong">
    <w:name w:val="Strong"/>
    <w:basedOn w:val="DefaultParagraphFont"/>
    <w:uiPriority w:val="22"/>
    <w:semiHidden/>
    <w:rsid w:val="00282325"/>
    <w:rPr>
      <w:b/>
      <w:bCs/>
    </w:rPr>
  </w:style>
  <w:style w:type="character" w:styleId="IntenseReference">
    <w:name w:val="Intense Reference"/>
    <w:basedOn w:val="DefaultParagraphFont"/>
    <w:uiPriority w:val="32"/>
    <w:semiHidden/>
    <w:rsid w:val="0012315B"/>
    <w:rPr>
      <w:b/>
      <w:bCs/>
      <w:smallCaps/>
      <w:color w:val="C41230"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63674">
      <w:bodyDiv w:val="1"/>
      <w:marLeft w:val="0"/>
      <w:marRight w:val="0"/>
      <w:marTop w:val="0"/>
      <w:marBottom w:val="0"/>
      <w:divBdr>
        <w:top w:val="none" w:sz="0" w:space="0" w:color="auto"/>
        <w:left w:val="none" w:sz="0" w:space="0" w:color="auto"/>
        <w:bottom w:val="none" w:sz="0" w:space="0" w:color="auto"/>
        <w:right w:val="none" w:sz="0" w:space="0" w:color="auto"/>
      </w:divBdr>
    </w:div>
    <w:div w:id="646402242">
      <w:bodyDiv w:val="1"/>
      <w:marLeft w:val="0"/>
      <w:marRight w:val="0"/>
      <w:marTop w:val="0"/>
      <w:marBottom w:val="0"/>
      <w:divBdr>
        <w:top w:val="none" w:sz="0" w:space="0" w:color="auto"/>
        <w:left w:val="none" w:sz="0" w:space="0" w:color="auto"/>
        <w:bottom w:val="none" w:sz="0" w:space="0" w:color="auto"/>
        <w:right w:val="none" w:sz="0" w:space="0" w:color="auto"/>
      </w:divBdr>
    </w:div>
    <w:div w:id="795635564">
      <w:bodyDiv w:val="1"/>
      <w:marLeft w:val="0"/>
      <w:marRight w:val="0"/>
      <w:marTop w:val="0"/>
      <w:marBottom w:val="0"/>
      <w:divBdr>
        <w:top w:val="none" w:sz="0" w:space="0" w:color="auto"/>
        <w:left w:val="none" w:sz="0" w:space="0" w:color="auto"/>
        <w:bottom w:val="none" w:sz="0" w:space="0" w:color="auto"/>
        <w:right w:val="none" w:sz="0" w:space="0" w:color="auto"/>
      </w:divBdr>
    </w:div>
    <w:div w:id="922372244">
      <w:bodyDiv w:val="1"/>
      <w:marLeft w:val="0"/>
      <w:marRight w:val="0"/>
      <w:marTop w:val="0"/>
      <w:marBottom w:val="0"/>
      <w:divBdr>
        <w:top w:val="none" w:sz="0" w:space="0" w:color="auto"/>
        <w:left w:val="none" w:sz="0" w:space="0" w:color="auto"/>
        <w:bottom w:val="none" w:sz="0" w:space="0" w:color="auto"/>
        <w:right w:val="none" w:sz="0" w:space="0" w:color="auto"/>
      </w:divBdr>
    </w:div>
    <w:div w:id="1190874219">
      <w:bodyDiv w:val="1"/>
      <w:marLeft w:val="0"/>
      <w:marRight w:val="0"/>
      <w:marTop w:val="0"/>
      <w:marBottom w:val="0"/>
      <w:divBdr>
        <w:top w:val="none" w:sz="0" w:space="0" w:color="auto"/>
        <w:left w:val="none" w:sz="0" w:space="0" w:color="auto"/>
        <w:bottom w:val="none" w:sz="0" w:space="0" w:color="auto"/>
        <w:right w:val="none" w:sz="0" w:space="0" w:color="auto"/>
      </w:divBdr>
    </w:div>
    <w:div w:id="1549075926">
      <w:bodyDiv w:val="1"/>
      <w:marLeft w:val="0"/>
      <w:marRight w:val="0"/>
      <w:marTop w:val="0"/>
      <w:marBottom w:val="0"/>
      <w:divBdr>
        <w:top w:val="none" w:sz="0" w:space="0" w:color="auto"/>
        <w:left w:val="none" w:sz="0" w:space="0" w:color="auto"/>
        <w:bottom w:val="none" w:sz="0" w:space="0" w:color="auto"/>
        <w:right w:val="none" w:sz="0" w:space="0" w:color="auto"/>
      </w:divBdr>
    </w:div>
    <w:div w:id="1685404205">
      <w:bodyDiv w:val="1"/>
      <w:marLeft w:val="0"/>
      <w:marRight w:val="0"/>
      <w:marTop w:val="0"/>
      <w:marBottom w:val="0"/>
      <w:divBdr>
        <w:top w:val="none" w:sz="0" w:space="0" w:color="auto"/>
        <w:left w:val="none" w:sz="0" w:space="0" w:color="auto"/>
        <w:bottom w:val="none" w:sz="0" w:space="0" w:color="auto"/>
        <w:right w:val="none" w:sz="0" w:space="0" w:color="auto"/>
      </w:divBdr>
    </w:div>
    <w:div w:id="199652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microsoft.com/office/2016/09/relationships/commentsIds" Target="commentsId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commentsExtended" Target="commentsExtended.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omments" Target="comments.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8.xml"/><Relationship Id="rId30" Type="http://schemas.openxmlformats.org/officeDocument/2006/relationships/header" Target="header10.xml"/></Relationships>
</file>

<file path=word/_rels/footer1.xml.rels><?xml version="1.0" encoding="UTF-8" standalone="yes"?>
<Relationships xmlns="http://schemas.openxmlformats.org/package/2006/relationships"><Relationship Id="rId2" Type="http://schemas.openxmlformats.org/officeDocument/2006/relationships/hyperlink" Target="mailto:info@aemo.com.au" TargetMode="External"/><Relationship Id="rId1" Type="http://schemas.openxmlformats.org/officeDocument/2006/relationships/hyperlink" Target="http://www.aemo.com.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 Id="rId5" Type="http://schemas.openxmlformats.org/officeDocument/2006/relationships/image" Target="media/image4.png"/><Relationship Id="rId4"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 Id="rId5" Type="http://schemas.openxmlformats.org/officeDocument/2006/relationships/image" Target="media/image4.png"/><Relationship Id="rId4" Type="http://schemas.openxmlformats.org/officeDocument/2006/relationships/image" Target="media/image5.emf"/></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9.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Rules%20and%20Procedures\External%20Procedures%20Template_2019.dotx" TargetMode="External"/></Relationships>
</file>

<file path=word/theme/theme1.xml><?xml version="1.0" encoding="utf-8"?>
<a:theme xmlns:a="http://schemas.openxmlformats.org/drawingml/2006/main" name="AEMO">
  <a:themeElements>
    <a:clrScheme name="Aemo new colour pallette">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036ACBE28CFD43982EB2607B789EB7" ma:contentTypeVersion="6" ma:contentTypeDescription="Create a new document." ma:contentTypeScope="" ma:versionID="537934cd00cd10b54cab3a720b418e01">
  <xsd:schema xmlns:xsd="http://www.w3.org/2001/XMLSchema" xmlns:xs="http://www.w3.org/2001/XMLSchema" xmlns:p="http://schemas.microsoft.com/office/2006/metadata/properties" xmlns:ns2="30d9f3aa-8f73-4fc1-9941-788648c2898b" xmlns:ns3="800869b4-ccc3-4d92-8f27-4117a93afefc" targetNamespace="http://schemas.microsoft.com/office/2006/metadata/properties" ma:root="true" ma:fieldsID="c98d334b7f11b53e4b15def76dd86f91" ns2:_="" ns3:_="">
    <xsd:import namespace="30d9f3aa-8f73-4fc1-9941-788648c2898b"/>
    <xsd:import namespace="800869b4-ccc3-4d92-8f27-4117a93afe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9f3aa-8f73-4fc1-9941-788648c289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0869b4-ccc3-4d92-8f27-4117a93afe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33BED-5CCB-4E16-9F2B-A8AC0A917E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1280ED-D9ED-4DEF-AC5D-64D02A9BB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9f3aa-8f73-4fc1-9941-788648c2898b"/>
    <ds:schemaRef ds:uri="800869b4-ccc3-4d92-8f27-4117a93afe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9AE72-8016-42EF-AADB-894394EDAB9E}">
  <ds:schemaRefs>
    <ds:schemaRef ds:uri="http://schemas.microsoft.com/sharepoint/v3/contenttype/forms"/>
  </ds:schemaRefs>
</ds:datastoreItem>
</file>

<file path=customXml/itemProps4.xml><?xml version="1.0" encoding="utf-8"?>
<ds:datastoreItem xmlns:ds="http://schemas.openxmlformats.org/officeDocument/2006/customXml" ds:itemID="{6A030C17-6FFC-43F6-BF8B-46D8602A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 Procedures Template_2019</Template>
  <TotalTime>2</TotalTime>
  <Pages>1</Pages>
  <Words>7598</Words>
  <Characters>43312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External Procedures Template Mar 2015</vt:lpstr>
    </vt:vector>
  </TitlesOfParts>
  <Company/>
  <LinksUpToDate>false</LinksUpToDate>
  <CharactersWithSpaces>50809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Procedures Template Mar 2015</dc:title>
  <dc:subject/>
  <dc:creator>Roger Shaw</dc:creator>
  <cp:keywords/>
  <cp:lastModifiedBy>Hugh Ridgway</cp:lastModifiedBy>
  <cp:revision>4</cp:revision>
  <cp:lastPrinted>2014-09-04T20:47:00Z</cp:lastPrinted>
  <dcterms:created xsi:type="dcterms:W3CDTF">2021-03-11T06:44:00Z</dcterms:created>
  <dcterms:modified xsi:type="dcterms:W3CDTF">2021-03-12T01:35:00Z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0x0101004E036ACBE28CFD43982EB2607B789EB7</vt:lpwstr>
  </property>
  <property fmtid="{D5CDD505-2E9C-101B-9397-08002B2CF9AE}" pid="3" name="_dlc_DocIdItemGuid">
    <vt:lpwstr>43b9a250-6565-4ad3-8824-bd4226e43698</vt:lpwstr>
  </property>
  <property fmtid="{D5CDD505-2E9C-101B-9397-08002B2CF9AE}" pid="4" name="AEMODocumentType">
    <vt:lpwstr>8;#Operational Record|859762f2-4462-42eb-9744-c955c7e2c540</vt:lpwstr>
  </property>
  <property fmtid="{D5CDD505-2E9C-101B-9397-08002B2CF9AE}" pid="5" name="AEMOKeywords0">
    <vt:lpwstr/>
  </property>
  <property fmtid="{D5CDD505-2E9C-101B-9397-08002B2CF9AE}" pid="6" name="Order">
    <vt:r8>17300</vt:r8>
  </property>
  <property fmtid="{D5CDD505-2E9C-101B-9397-08002B2CF9AE}" pid="7" name="AEMOKeywords">
    <vt:lpwstr/>
  </property>
</Properties>
</file>