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23A93" w14:textId="77777777" w:rsidR="00C62FA2" w:rsidRPr="006C1137" w:rsidRDefault="00C62FA2">
      <w:pPr>
        <w:widowControl w:val="0"/>
        <w:autoSpaceDE w:val="0"/>
        <w:autoSpaceDN w:val="0"/>
        <w:adjustRightInd w:val="0"/>
        <w:spacing w:before="19" w:after="0" w:line="240" w:lineRule="auto"/>
        <w:ind w:left="7829"/>
        <w:rPr>
          <w:rFonts w:cs="Calibri"/>
          <w:sz w:val="20"/>
          <w:szCs w:val="20"/>
        </w:rPr>
      </w:pPr>
    </w:p>
    <w:p w14:paraId="355E1290" w14:textId="77777777" w:rsidR="00C62FA2" w:rsidRPr="006C1137" w:rsidRDefault="00C62FA2">
      <w:pPr>
        <w:widowControl w:val="0"/>
        <w:autoSpaceDE w:val="0"/>
        <w:autoSpaceDN w:val="0"/>
        <w:adjustRightInd w:val="0"/>
        <w:spacing w:before="2" w:after="0" w:line="170" w:lineRule="exact"/>
        <w:rPr>
          <w:rFonts w:cs="Calibri"/>
          <w:sz w:val="17"/>
          <w:szCs w:val="17"/>
        </w:rPr>
      </w:pPr>
    </w:p>
    <w:p w14:paraId="74FAED36" w14:textId="77777777" w:rsidR="00C62FA2" w:rsidRPr="006C1137" w:rsidRDefault="00C62FA2">
      <w:pPr>
        <w:widowControl w:val="0"/>
        <w:autoSpaceDE w:val="0"/>
        <w:autoSpaceDN w:val="0"/>
        <w:adjustRightInd w:val="0"/>
        <w:spacing w:after="0" w:line="200" w:lineRule="exact"/>
        <w:rPr>
          <w:rFonts w:cs="Calibri"/>
          <w:sz w:val="20"/>
          <w:szCs w:val="20"/>
        </w:rPr>
      </w:pPr>
    </w:p>
    <w:p w14:paraId="596B14B8" w14:textId="77777777" w:rsidR="00C62FA2" w:rsidRPr="006C1137" w:rsidRDefault="00C62FA2">
      <w:pPr>
        <w:widowControl w:val="0"/>
        <w:autoSpaceDE w:val="0"/>
        <w:autoSpaceDN w:val="0"/>
        <w:adjustRightInd w:val="0"/>
        <w:spacing w:after="0" w:line="200" w:lineRule="exact"/>
        <w:rPr>
          <w:rFonts w:cs="Calibri"/>
          <w:sz w:val="20"/>
          <w:szCs w:val="20"/>
        </w:rPr>
      </w:pPr>
    </w:p>
    <w:p w14:paraId="7C06CA74" w14:textId="77777777" w:rsidR="00C62FA2" w:rsidRPr="006C1137" w:rsidRDefault="00C62FA2">
      <w:pPr>
        <w:widowControl w:val="0"/>
        <w:autoSpaceDE w:val="0"/>
        <w:autoSpaceDN w:val="0"/>
        <w:adjustRightInd w:val="0"/>
        <w:spacing w:after="0" w:line="200" w:lineRule="exact"/>
        <w:rPr>
          <w:rFonts w:cs="Calibri"/>
          <w:sz w:val="20"/>
          <w:szCs w:val="20"/>
        </w:rPr>
      </w:pPr>
    </w:p>
    <w:p w14:paraId="2B91CEC2" w14:textId="77777777" w:rsidR="00C62FA2" w:rsidRPr="006C1137" w:rsidRDefault="00C62FA2">
      <w:pPr>
        <w:widowControl w:val="0"/>
        <w:autoSpaceDE w:val="0"/>
        <w:autoSpaceDN w:val="0"/>
        <w:adjustRightInd w:val="0"/>
        <w:spacing w:after="0" w:line="200" w:lineRule="exact"/>
        <w:rPr>
          <w:rFonts w:cs="Calibri"/>
          <w:sz w:val="20"/>
          <w:szCs w:val="20"/>
        </w:rPr>
      </w:pPr>
    </w:p>
    <w:p w14:paraId="13B5C3D1" w14:textId="77777777" w:rsidR="00C62FA2" w:rsidRPr="006C1137" w:rsidRDefault="00C62FA2">
      <w:pPr>
        <w:widowControl w:val="0"/>
        <w:autoSpaceDE w:val="0"/>
        <w:autoSpaceDN w:val="0"/>
        <w:adjustRightInd w:val="0"/>
        <w:spacing w:after="0" w:line="200" w:lineRule="exact"/>
        <w:rPr>
          <w:rFonts w:cs="Calibri"/>
          <w:sz w:val="20"/>
          <w:szCs w:val="20"/>
        </w:rPr>
      </w:pPr>
    </w:p>
    <w:p w14:paraId="3F25EC83" w14:textId="77777777" w:rsidR="00C62FA2" w:rsidRPr="006C1137" w:rsidRDefault="00C62FA2">
      <w:pPr>
        <w:widowControl w:val="0"/>
        <w:autoSpaceDE w:val="0"/>
        <w:autoSpaceDN w:val="0"/>
        <w:adjustRightInd w:val="0"/>
        <w:spacing w:after="0" w:line="200" w:lineRule="exact"/>
        <w:rPr>
          <w:rFonts w:cs="Calibri"/>
          <w:sz w:val="20"/>
          <w:szCs w:val="20"/>
        </w:rPr>
      </w:pPr>
    </w:p>
    <w:p w14:paraId="2CEF3149" w14:textId="77777777" w:rsidR="00C62FA2" w:rsidRPr="006C1137" w:rsidRDefault="00C62FA2">
      <w:pPr>
        <w:widowControl w:val="0"/>
        <w:autoSpaceDE w:val="0"/>
        <w:autoSpaceDN w:val="0"/>
        <w:adjustRightInd w:val="0"/>
        <w:spacing w:after="0" w:line="200" w:lineRule="exact"/>
        <w:rPr>
          <w:rFonts w:cs="Calibri"/>
          <w:sz w:val="20"/>
          <w:szCs w:val="20"/>
        </w:rPr>
      </w:pPr>
    </w:p>
    <w:p w14:paraId="6F42933C" w14:textId="77777777" w:rsidR="00C62FA2" w:rsidRPr="006C1137" w:rsidRDefault="00C62FA2">
      <w:pPr>
        <w:widowControl w:val="0"/>
        <w:autoSpaceDE w:val="0"/>
        <w:autoSpaceDN w:val="0"/>
        <w:adjustRightInd w:val="0"/>
        <w:spacing w:after="0" w:line="200" w:lineRule="exact"/>
        <w:rPr>
          <w:rFonts w:cs="Calibri"/>
          <w:sz w:val="20"/>
          <w:szCs w:val="20"/>
        </w:rPr>
      </w:pPr>
    </w:p>
    <w:p w14:paraId="68175D34" w14:textId="77777777" w:rsidR="00C62FA2" w:rsidRPr="006C1137" w:rsidRDefault="00C62FA2">
      <w:pPr>
        <w:widowControl w:val="0"/>
        <w:autoSpaceDE w:val="0"/>
        <w:autoSpaceDN w:val="0"/>
        <w:adjustRightInd w:val="0"/>
        <w:spacing w:after="0" w:line="200" w:lineRule="exact"/>
        <w:rPr>
          <w:rFonts w:cs="Calibri"/>
          <w:sz w:val="20"/>
          <w:szCs w:val="20"/>
        </w:rPr>
      </w:pPr>
    </w:p>
    <w:p w14:paraId="635F9032" w14:textId="77777777" w:rsidR="00C62FA2" w:rsidRPr="006C1137" w:rsidRDefault="00C62FA2">
      <w:pPr>
        <w:widowControl w:val="0"/>
        <w:autoSpaceDE w:val="0"/>
        <w:autoSpaceDN w:val="0"/>
        <w:adjustRightInd w:val="0"/>
        <w:spacing w:after="0" w:line="200" w:lineRule="exact"/>
        <w:rPr>
          <w:rFonts w:cs="Calibri"/>
          <w:sz w:val="20"/>
          <w:szCs w:val="20"/>
        </w:rPr>
      </w:pPr>
    </w:p>
    <w:p w14:paraId="7BD00966" w14:textId="0992E112" w:rsidR="009A260E" w:rsidRPr="006C1137" w:rsidRDefault="00295455" w:rsidP="00295455">
      <w:pPr>
        <w:widowControl w:val="0"/>
        <w:autoSpaceDE w:val="0"/>
        <w:autoSpaceDN w:val="0"/>
        <w:adjustRightInd w:val="0"/>
        <w:spacing w:before="25" w:after="0" w:line="226" w:lineRule="auto"/>
        <w:ind w:right="703"/>
        <w:jc w:val="center"/>
        <w:rPr>
          <w:rFonts w:cs="Calibri"/>
          <w:color w:val="ED7D31"/>
          <w:sz w:val="48"/>
          <w:szCs w:val="48"/>
        </w:rPr>
      </w:pPr>
      <w:r w:rsidRPr="006C1137">
        <w:rPr>
          <w:rFonts w:cs="Calibri"/>
          <w:color w:val="ED7D31"/>
          <w:sz w:val="48"/>
          <w:szCs w:val="48"/>
        </w:rPr>
        <w:t>RETAIL ELECTRICITY MARKET PROCEDURES MARCH 2021 CONSULTATION</w:t>
      </w:r>
    </w:p>
    <w:p w14:paraId="77059586" w14:textId="77777777" w:rsidR="001C4CCA" w:rsidRPr="006C1137" w:rsidRDefault="001C4CCA">
      <w:pPr>
        <w:widowControl w:val="0"/>
        <w:autoSpaceDE w:val="0"/>
        <w:autoSpaceDN w:val="0"/>
        <w:adjustRightInd w:val="0"/>
        <w:spacing w:before="25" w:after="0" w:line="226" w:lineRule="auto"/>
        <w:ind w:left="827" w:right="703"/>
        <w:rPr>
          <w:rFonts w:cs="Calibri"/>
          <w:color w:val="001F5F"/>
          <w:sz w:val="48"/>
          <w:szCs w:val="48"/>
        </w:rPr>
      </w:pPr>
    </w:p>
    <w:p w14:paraId="2C461F1B" w14:textId="77777777" w:rsidR="001C4CCA" w:rsidRPr="006C1137" w:rsidRDefault="001C4CCA" w:rsidP="001C4CCA">
      <w:pPr>
        <w:widowControl w:val="0"/>
        <w:autoSpaceDE w:val="0"/>
        <w:autoSpaceDN w:val="0"/>
        <w:adjustRightInd w:val="0"/>
        <w:spacing w:before="25" w:after="0" w:line="226" w:lineRule="auto"/>
        <w:ind w:right="703"/>
        <w:rPr>
          <w:rFonts w:cs="Calibri"/>
          <w:color w:val="001F5F"/>
          <w:sz w:val="48"/>
          <w:szCs w:val="48"/>
        </w:rPr>
      </w:pPr>
      <w:r w:rsidRPr="006C1137">
        <w:rPr>
          <w:rFonts w:cs="Calibri"/>
          <w:color w:val="001F5F"/>
          <w:sz w:val="48"/>
          <w:szCs w:val="48"/>
        </w:rPr>
        <w:t xml:space="preserve">     </w:t>
      </w:r>
    </w:p>
    <w:p w14:paraId="1924182B" w14:textId="77777777" w:rsidR="00C62FA2" w:rsidRPr="006C1137" w:rsidRDefault="001C4CCA" w:rsidP="001C4CCA">
      <w:pPr>
        <w:widowControl w:val="0"/>
        <w:autoSpaceDE w:val="0"/>
        <w:autoSpaceDN w:val="0"/>
        <w:adjustRightInd w:val="0"/>
        <w:spacing w:before="25" w:after="0" w:line="226" w:lineRule="auto"/>
        <w:ind w:right="703" w:firstLine="720"/>
        <w:rPr>
          <w:rFonts w:cs="Calibri"/>
          <w:color w:val="001F5F"/>
          <w:sz w:val="48"/>
          <w:szCs w:val="48"/>
        </w:rPr>
      </w:pPr>
      <w:r w:rsidRPr="006C1137">
        <w:rPr>
          <w:rFonts w:cs="Calibri"/>
          <w:color w:val="001F5F"/>
          <w:sz w:val="48"/>
          <w:szCs w:val="48"/>
        </w:rPr>
        <w:t>PROCEDURE CONSULTATION</w:t>
      </w:r>
    </w:p>
    <w:p w14:paraId="18BFD66E" w14:textId="77777777" w:rsidR="007B3206" w:rsidRPr="006C1137" w:rsidRDefault="007B3206" w:rsidP="007B3206">
      <w:pPr>
        <w:widowControl w:val="0"/>
        <w:autoSpaceDE w:val="0"/>
        <w:autoSpaceDN w:val="0"/>
        <w:adjustRightInd w:val="0"/>
        <w:spacing w:before="25" w:after="0" w:line="226" w:lineRule="auto"/>
        <w:ind w:left="720" w:right="703"/>
        <w:rPr>
          <w:rFonts w:cs="Calibri"/>
          <w:color w:val="001F5F"/>
          <w:sz w:val="48"/>
          <w:szCs w:val="48"/>
        </w:rPr>
      </w:pPr>
    </w:p>
    <w:p w14:paraId="12920544" w14:textId="1DDC6497" w:rsidR="001C4CCA" w:rsidRPr="006C1137" w:rsidRDefault="00FF01BD" w:rsidP="007B3206">
      <w:pPr>
        <w:widowControl w:val="0"/>
        <w:autoSpaceDE w:val="0"/>
        <w:autoSpaceDN w:val="0"/>
        <w:adjustRightInd w:val="0"/>
        <w:spacing w:before="25" w:after="0" w:line="226" w:lineRule="auto"/>
        <w:ind w:left="720" w:right="703"/>
        <w:rPr>
          <w:rFonts w:cs="Calibri"/>
          <w:color w:val="000000"/>
          <w:sz w:val="48"/>
          <w:szCs w:val="48"/>
        </w:rPr>
      </w:pPr>
      <w:r>
        <w:rPr>
          <w:rFonts w:cs="Calibri"/>
          <w:color w:val="001F5F"/>
          <w:sz w:val="48"/>
          <w:szCs w:val="48"/>
        </w:rPr>
        <w:t>SECOND</w:t>
      </w:r>
      <w:r w:rsidR="007B3206" w:rsidRPr="006C1137">
        <w:rPr>
          <w:rFonts w:cs="Calibri"/>
          <w:color w:val="001F5F"/>
          <w:sz w:val="48"/>
          <w:szCs w:val="48"/>
        </w:rPr>
        <w:t xml:space="preserve"> STAGE </w:t>
      </w:r>
      <w:r w:rsidR="001C4CCA" w:rsidRPr="006C1137">
        <w:rPr>
          <w:rFonts w:cs="Calibri"/>
          <w:color w:val="001F5F"/>
          <w:sz w:val="48"/>
          <w:szCs w:val="48"/>
        </w:rPr>
        <w:t xml:space="preserve">PARTICIPANT RESPONSE </w:t>
      </w:r>
      <w:r w:rsidR="007B3206" w:rsidRPr="006C1137">
        <w:rPr>
          <w:rFonts w:cs="Calibri"/>
          <w:color w:val="001F5F"/>
          <w:sz w:val="48"/>
          <w:szCs w:val="48"/>
        </w:rPr>
        <w:t>TEMPLATE</w:t>
      </w:r>
    </w:p>
    <w:p w14:paraId="06E0CA3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78BB330A"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0A1FF45" w14:textId="77777777" w:rsidR="00C62FA2" w:rsidRPr="006C1137" w:rsidRDefault="00C62FA2">
      <w:pPr>
        <w:widowControl w:val="0"/>
        <w:autoSpaceDE w:val="0"/>
        <w:autoSpaceDN w:val="0"/>
        <w:adjustRightInd w:val="0"/>
        <w:spacing w:before="15" w:after="0" w:line="240" w:lineRule="exact"/>
        <w:rPr>
          <w:rFonts w:cs="Calibri"/>
          <w:color w:val="000000"/>
          <w:sz w:val="24"/>
          <w:szCs w:val="24"/>
        </w:rPr>
      </w:pPr>
    </w:p>
    <w:p w14:paraId="21CABEA1" w14:textId="77777777" w:rsidR="00C62FA2" w:rsidRPr="006C1137" w:rsidRDefault="00C62FA2">
      <w:pPr>
        <w:widowControl w:val="0"/>
        <w:autoSpaceDE w:val="0"/>
        <w:autoSpaceDN w:val="0"/>
        <w:adjustRightInd w:val="0"/>
        <w:spacing w:before="3" w:after="0" w:line="190" w:lineRule="exact"/>
        <w:rPr>
          <w:rFonts w:cs="Calibri"/>
          <w:color w:val="000000"/>
          <w:sz w:val="19"/>
          <w:szCs w:val="19"/>
        </w:rPr>
      </w:pPr>
    </w:p>
    <w:p w14:paraId="79FFE1AE"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6881BD14" w14:textId="77777777" w:rsidR="00C62FA2" w:rsidRPr="006C1137" w:rsidRDefault="00C62FA2">
      <w:pPr>
        <w:widowControl w:val="0"/>
        <w:autoSpaceDE w:val="0"/>
        <w:autoSpaceDN w:val="0"/>
        <w:adjustRightInd w:val="0"/>
        <w:spacing w:after="0" w:line="240" w:lineRule="auto"/>
        <w:ind w:left="827"/>
        <w:rPr>
          <w:rFonts w:cs="Calibri"/>
          <w:i/>
          <w:iCs/>
          <w:color w:val="001F5F"/>
          <w:spacing w:val="-17"/>
          <w:sz w:val="32"/>
          <w:szCs w:val="32"/>
        </w:rPr>
      </w:pPr>
      <w:r w:rsidRPr="006C1137">
        <w:rPr>
          <w:rFonts w:cs="Calibri"/>
          <w:b/>
          <w:bCs/>
          <w:i/>
          <w:iCs/>
          <w:color w:val="001F5F"/>
          <w:sz w:val="32"/>
          <w:szCs w:val="32"/>
        </w:rPr>
        <w:t>Pa</w:t>
      </w:r>
      <w:r w:rsidRPr="006C1137">
        <w:rPr>
          <w:rFonts w:cs="Calibri"/>
          <w:b/>
          <w:bCs/>
          <w:i/>
          <w:iCs/>
          <w:color w:val="001F5F"/>
          <w:spacing w:val="1"/>
          <w:sz w:val="32"/>
          <w:szCs w:val="32"/>
        </w:rPr>
        <w:t>r</w:t>
      </w:r>
      <w:r w:rsidRPr="006C1137">
        <w:rPr>
          <w:rFonts w:cs="Calibri"/>
          <w:b/>
          <w:bCs/>
          <w:i/>
          <w:iCs/>
          <w:color w:val="001F5F"/>
          <w:sz w:val="32"/>
          <w:szCs w:val="32"/>
        </w:rPr>
        <w:t>tici</w:t>
      </w:r>
      <w:r w:rsidRPr="006C1137">
        <w:rPr>
          <w:rFonts w:cs="Calibri"/>
          <w:b/>
          <w:bCs/>
          <w:i/>
          <w:iCs/>
          <w:color w:val="001F5F"/>
          <w:spacing w:val="-1"/>
          <w:sz w:val="32"/>
          <w:szCs w:val="32"/>
        </w:rPr>
        <w:t>p</w:t>
      </w:r>
      <w:r w:rsidRPr="006C1137">
        <w:rPr>
          <w:rFonts w:cs="Calibri"/>
          <w:b/>
          <w:bCs/>
          <w:i/>
          <w:iCs/>
          <w:color w:val="001F5F"/>
          <w:spacing w:val="2"/>
          <w:sz w:val="32"/>
          <w:szCs w:val="32"/>
        </w:rPr>
        <w:t>a</w:t>
      </w:r>
      <w:r w:rsidRPr="006C1137">
        <w:rPr>
          <w:rFonts w:cs="Calibri"/>
          <w:b/>
          <w:bCs/>
          <w:i/>
          <w:iCs/>
          <w:color w:val="001F5F"/>
          <w:sz w:val="32"/>
          <w:szCs w:val="32"/>
        </w:rPr>
        <w:t>n</w:t>
      </w:r>
      <w:r w:rsidRPr="006C1137">
        <w:rPr>
          <w:rFonts w:cs="Calibri"/>
          <w:b/>
          <w:bCs/>
          <w:i/>
          <w:iCs/>
          <w:color w:val="001F5F"/>
          <w:spacing w:val="-1"/>
          <w:sz w:val="32"/>
          <w:szCs w:val="32"/>
        </w:rPr>
        <w:t>t</w:t>
      </w:r>
      <w:r w:rsidRPr="006C1137">
        <w:rPr>
          <w:rFonts w:cs="Calibri"/>
          <w:i/>
          <w:iCs/>
          <w:color w:val="001F5F"/>
          <w:sz w:val="32"/>
          <w:szCs w:val="32"/>
        </w:rPr>
        <w:t>:</w:t>
      </w:r>
      <w:r w:rsidRPr="006C1137">
        <w:rPr>
          <w:rFonts w:cs="Calibri"/>
          <w:i/>
          <w:iCs/>
          <w:color w:val="001F5F"/>
          <w:spacing w:val="-17"/>
          <w:sz w:val="32"/>
          <w:szCs w:val="32"/>
        </w:rPr>
        <w:t xml:space="preserve"> </w:t>
      </w:r>
    </w:p>
    <w:p w14:paraId="543FA59F" w14:textId="77777777" w:rsidR="001C4CCA" w:rsidRPr="006C1137" w:rsidRDefault="001C4CCA">
      <w:pPr>
        <w:widowControl w:val="0"/>
        <w:autoSpaceDE w:val="0"/>
        <w:autoSpaceDN w:val="0"/>
        <w:adjustRightInd w:val="0"/>
        <w:spacing w:after="0" w:line="240" w:lineRule="auto"/>
        <w:ind w:left="827"/>
        <w:rPr>
          <w:rFonts w:cs="Calibri"/>
          <w:color w:val="000000"/>
          <w:sz w:val="32"/>
          <w:szCs w:val="32"/>
        </w:rPr>
      </w:pPr>
    </w:p>
    <w:p w14:paraId="28C19A2F" w14:textId="77777777" w:rsidR="00C62FA2" w:rsidRPr="006C1137" w:rsidRDefault="00C62FA2">
      <w:pPr>
        <w:widowControl w:val="0"/>
        <w:autoSpaceDE w:val="0"/>
        <w:autoSpaceDN w:val="0"/>
        <w:adjustRightInd w:val="0"/>
        <w:spacing w:before="1" w:after="0" w:line="200" w:lineRule="exact"/>
        <w:rPr>
          <w:rFonts w:cs="Calibri"/>
          <w:color w:val="000000"/>
          <w:sz w:val="20"/>
          <w:szCs w:val="20"/>
        </w:rPr>
      </w:pPr>
    </w:p>
    <w:p w14:paraId="2644B340" w14:textId="77777777" w:rsidR="00C62FA2" w:rsidRPr="006C1137" w:rsidRDefault="00C83277">
      <w:pPr>
        <w:widowControl w:val="0"/>
        <w:autoSpaceDE w:val="0"/>
        <w:autoSpaceDN w:val="0"/>
        <w:adjustRightInd w:val="0"/>
        <w:spacing w:after="0" w:line="361" w:lineRule="exact"/>
        <w:ind w:left="827"/>
        <w:rPr>
          <w:rFonts w:cs="Calibri"/>
          <w:color w:val="000000"/>
          <w:sz w:val="32"/>
          <w:szCs w:val="32"/>
        </w:rPr>
      </w:pPr>
      <w:r w:rsidRPr="006C1137">
        <w:rPr>
          <w:rFonts w:cs="Calibri"/>
          <w:b/>
          <w:bCs/>
          <w:i/>
          <w:iCs/>
          <w:color w:val="001F5F"/>
          <w:position w:val="-1"/>
          <w:sz w:val="32"/>
          <w:szCs w:val="32"/>
        </w:rPr>
        <w:t>Submission</w:t>
      </w:r>
      <w:r w:rsidR="00C62FA2" w:rsidRPr="006C1137">
        <w:rPr>
          <w:rFonts w:cs="Calibri"/>
          <w:b/>
          <w:bCs/>
          <w:i/>
          <w:iCs/>
          <w:color w:val="001F5F"/>
          <w:spacing w:val="-15"/>
          <w:position w:val="-1"/>
          <w:sz w:val="32"/>
          <w:szCs w:val="32"/>
        </w:rPr>
        <w:t xml:space="preserve"> </w:t>
      </w:r>
      <w:r w:rsidR="00C62FA2" w:rsidRPr="006C1137">
        <w:rPr>
          <w:rFonts w:cs="Calibri"/>
          <w:b/>
          <w:bCs/>
          <w:i/>
          <w:iCs/>
          <w:color w:val="001F5F"/>
          <w:position w:val="-1"/>
          <w:sz w:val="32"/>
          <w:szCs w:val="32"/>
        </w:rPr>
        <w:t>Da</w:t>
      </w:r>
      <w:r w:rsidR="00C62FA2" w:rsidRPr="006C1137">
        <w:rPr>
          <w:rFonts w:cs="Calibri"/>
          <w:b/>
          <w:bCs/>
          <w:i/>
          <w:iCs/>
          <w:color w:val="001F5F"/>
          <w:spacing w:val="2"/>
          <w:position w:val="-1"/>
          <w:sz w:val="32"/>
          <w:szCs w:val="32"/>
        </w:rPr>
        <w:t>t</w:t>
      </w:r>
      <w:r w:rsidR="00C62FA2" w:rsidRPr="006C1137">
        <w:rPr>
          <w:rFonts w:cs="Calibri"/>
          <w:b/>
          <w:bCs/>
          <w:i/>
          <w:iCs/>
          <w:color w:val="001F5F"/>
          <w:spacing w:val="1"/>
          <w:position w:val="-1"/>
          <w:sz w:val="32"/>
          <w:szCs w:val="32"/>
        </w:rPr>
        <w:t>e</w:t>
      </w:r>
      <w:r w:rsidR="00C62FA2" w:rsidRPr="006C1137">
        <w:rPr>
          <w:rFonts w:cs="Calibri"/>
          <w:i/>
          <w:iCs/>
          <w:color w:val="001F5F"/>
          <w:position w:val="-1"/>
          <w:sz w:val="32"/>
          <w:szCs w:val="32"/>
        </w:rPr>
        <w:t>:</w:t>
      </w:r>
      <w:r w:rsidR="00C62FA2" w:rsidRPr="006C1137">
        <w:rPr>
          <w:rFonts w:cs="Calibri"/>
          <w:i/>
          <w:iCs/>
          <w:color w:val="001F5F"/>
          <w:spacing w:val="-7"/>
          <w:position w:val="-1"/>
          <w:sz w:val="32"/>
          <w:szCs w:val="32"/>
        </w:rPr>
        <w:t xml:space="preserve"> </w:t>
      </w:r>
    </w:p>
    <w:p w14:paraId="349D5E3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43528A6"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6651DA7"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02F7619"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7D25C2C"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C26DB94"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9C28B98"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771FCF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B036DA5"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D9236D2"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D4DF4FF"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2BCCB41"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FCE56A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9E0116E"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74094F9F"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24407C7A"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8F41595"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26ECD6F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670063E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50667E5"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1CC8C24"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F2913A7"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5E3A797"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79A10EFD"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2C8F686"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62A63AD5"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E2BFA83"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1836341B"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7279B258"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41BBBF32"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5AA2CA4A"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32374CA7"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E847F5C" w14:textId="77777777" w:rsidR="00C62FA2" w:rsidRPr="006C1137" w:rsidRDefault="00C62FA2">
      <w:pPr>
        <w:widowControl w:val="0"/>
        <w:autoSpaceDE w:val="0"/>
        <w:autoSpaceDN w:val="0"/>
        <w:adjustRightInd w:val="0"/>
        <w:spacing w:after="0" w:line="200" w:lineRule="exact"/>
        <w:rPr>
          <w:rFonts w:cs="Calibri"/>
          <w:color w:val="000000"/>
          <w:sz w:val="20"/>
          <w:szCs w:val="20"/>
        </w:rPr>
      </w:pPr>
    </w:p>
    <w:p w14:paraId="0C1693FD" w14:textId="77777777" w:rsidR="00C62FA2" w:rsidRPr="006C1137" w:rsidRDefault="00C62FA2">
      <w:pPr>
        <w:widowControl w:val="0"/>
        <w:autoSpaceDE w:val="0"/>
        <w:autoSpaceDN w:val="0"/>
        <w:adjustRightInd w:val="0"/>
        <w:spacing w:before="5" w:after="0" w:line="220" w:lineRule="exact"/>
        <w:rPr>
          <w:rFonts w:cs="Calibri"/>
          <w:color w:val="000000"/>
        </w:rPr>
      </w:pPr>
    </w:p>
    <w:p w14:paraId="593800CA" w14:textId="77777777" w:rsidR="00C62FA2" w:rsidRPr="006C1137" w:rsidRDefault="00C62FA2">
      <w:pPr>
        <w:widowControl w:val="0"/>
        <w:autoSpaceDE w:val="0"/>
        <w:autoSpaceDN w:val="0"/>
        <w:adjustRightInd w:val="0"/>
        <w:spacing w:before="34" w:after="0" w:line="240" w:lineRule="auto"/>
        <w:ind w:left="119"/>
        <w:rPr>
          <w:rFonts w:cs="Calibri"/>
          <w:color w:val="000000"/>
          <w:sz w:val="20"/>
          <w:szCs w:val="20"/>
        </w:rPr>
      </w:pPr>
    </w:p>
    <w:p w14:paraId="548321D8" w14:textId="77777777" w:rsidR="00E33744" w:rsidRPr="006C1137" w:rsidRDefault="00E33744">
      <w:pPr>
        <w:rPr>
          <w:rFonts w:cs="Calibri"/>
          <w:b/>
          <w:bCs/>
          <w:noProof/>
        </w:rPr>
      </w:pPr>
    </w:p>
    <w:p w14:paraId="45B63ADA" w14:textId="77777777" w:rsidR="008131CE" w:rsidRPr="006C1137" w:rsidRDefault="008131CE">
      <w:pPr>
        <w:rPr>
          <w:rFonts w:cs="Calibri"/>
          <w:b/>
          <w:bCs/>
          <w:noProof/>
        </w:rPr>
      </w:pPr>
    </w:p>
    <w:p w14:paraId="7AFC9FCC" w14:textId="77777777" w:rsidR="00CC381C" w:rsidRPr="006C1137" w:rsidRDefault="00CC381C" w:rsidP="00CC381C">
      <w:pPr>
        <w:pStyle w:val="TOCHeading"/>
        <w:numPr>
          <w:ilvl w:val="0"/>
          <w:numId w:val="0"/>
        </w:numPr>
        <w:rPr>
          <w:rFonts w:ascii="Calibri" w:hAnsi="Calibri" w:cs="Calibri"/>
          <w:color w:val="1F3864"/>
          <w:sz w:val="22"/>
          <w:szCs w:val="22"/>
          <w:lang w:val="en-AU" w:eastAsia="en-AU"/>
        </w:rPr>
      </w:pPr>
    </w:p>
    <w:p w14:paraId="488B56CF" w14:textId="77777777" w:rsidR="008131CE" w:rsidRPr="006C1137" w:rsidRDefault="008131CE" w:rsidP="00CC381C">
      <w:pPr>
        <w:pStyle w:val="TOCHeading"/>
        <w:numPr>
          <w:ilvl w:val="0"/>
          <w:numId w:val="0"/>
        </w:numPr>
        <w:rPr>
          <w:rFonts w:ascii="Calibri" w:hAnsi="Calibri" w:cs="Calibri"/>
        </w:rPr>
      </w:pPr>
      <w:r w:rsidRPr="006C1137">
        <w:rPr>
          <w:rFonts w:ascii="Calibri" w:hAnsi="Calibri" w:cs="Calibri"/>
        </w:rPr>
        <w:t>Table of Contents</w:t>
      </w:r>
    </w:p>
    <w:p w14:paraId="248E2D3A" w14:textId="77777777" w:rsidR="00C6681E" w:rsidRPr="006C1137" w:rsidRDefault="00C6681E" w:rsidP="00C6681E">
      <w:pPr>
        <w:rPr>
          <w:rFonts w:cs="Calibri"/>
          <w:lang w:val="en-US" w:eastAsia="en-US"/>
        </w:rPr>
      </w:pPr>
    </w:p>
    <w:p w14:paraId="5E1E33F4" w14:textId="39807F85" w:rsidR="00FF01BD" w:rsidRDefault="00D6187A">
      <w:pPr>
        <w:pStyle w:val="TOC1"/>
        <w:tabs>
          <w:tab w:val="left" w:pos="440"/>
          <w:tab w:val="right" w:leader="dot" w:pos="10150"/>
        </w:tabs>
        <w:rPr>
          <w:rFonts w:asciiTheme="minorHAnsi" w:eastAsiaTheme="minorEastAsia" w:hAnsiTheme="minorHAnsi" w:cstheme="minorBidi"/>
          <w:noProof/>
          <w:color w:val="auto"/>
        </w:rPr>
      </w:pPr>
      <w:r w:rsidRPr="006C1137">
        <w:rPr>
          <w:rFonts w:cs="Calibri"/>
        </w:rPr>
        <w:fldChar w:fldCharType="begin"/>
      </w:r>
      <w:r w:rsidRPr="006C1137">
        <w:rPr>
          <w:rFonts w:cs="Calibri"/>
        </w:rPr>
        <w:instrText xml:space="preserve"> TOC \o "1-1" \h \z \u </w:instrText>
      </w:r>
      <w:r w:rsidRPr="006C1137">
        <w:rPr>
          <w:rFonts w:cs="Calibri"/>
        </w:rPr>
        <w:fldChar w:fldCharType="separate"/>
      </w:r>
      <w:hyperlink w:anchor="_Toc72135979" w:history="1">
        <w:r w:rsidR="00FF01BD" w:rsidRPr="0082207C">
          <w:rPr>
            <w:rStyle w:val="Hyperlink"/>
            <w:rFonts w:cs="Calibri"/>
            <w:noProof/>
          </w:rPr>
          <w:t>1.</w:t>
        </w:r>
        <w:r w:rsidR="00FF01BD">
          <w:rPr>
            <w:rFonts w:asciiTheme="minorHAnsi" w:eastAsiaTheme="minorEastAsia" w:hAnsiTheme="minorHAnsi" w:cstheme="minorBidi"/>
            <w:noProof/>
            <w:color w:val="auto"/>
          </w:rPr>
          <w:tab/>
        </w:r>
        <w:r w:rsidR="00FF01BD" w:rsidRPr="0082207C">
          <w:rPr>
            <w:rStyle w:val="Hyperlink"/>
            <w:rFonts w:cs="Calibri"/>
            <w:noProof/>
          </w:rPr>
          <w:t>Context</w:t>
        </w:r>
        <w:r w:rsidR="00FF01BD">
          <w:rPr>
            <w:noProof/>
            <w:webHidden/>
          </w:rPr>
          <w:tab/>
        </w:r>
        <w:r w:rsidR="00FF01BD">
          <w:rPr>
            <w:noProof/>
            <w:webHidden/>
          </w:rPr>
          <w:fldChar w:fldCharType="begin"/>
        </w:r>
        <w:r w:rsidR="00FF01BD">
          <w:rPr>
            <w:noProof/>
            <w:webHidden/>
          </w:rPr>
          <w:instrText xml:space="preserve"> PAGEREF _Toc72135979 \h </w:instrText>
        </w:r>
        <w:r w:rsidR="00FF01BD">
          <w:rPr>
            <w:noProof/>
            <w:webHidden/>
          </w:rPr>
        </w:r>
        <w:r w:rsidR="00FF01BD">
          <w:rPr>
            <w:noProof/>
            <w:webHidden/>
          </w:rPr>
          <w:fldChar w:fldCharType="separate"/>
        </w:r>
        <w:r w:rsidR="00FF01BD">
          <w:rPr>
            <w:noProof/>
            <w:webHidden/>
          </w:rPr>
          <w:t>3</w:t>
        </w:r>
        <w:r w:rsidR="00FF01BD">
          <w:rPr>
            <w:noProof/>
            <w:webHidden/>
          </w:rPr>
          <w:fldChar w:fldCharType="end"/>
        </w:r>
      </w:hyperlink>
    </w:p>
    <w:p w14:paraId="47BC0410" w14:textId="6FE01D4E" w:rsidR="00FF01BD" w:rsidRDefault="00FF01BD">
      <w:pPr>
        <w:pStyle w:val="TOC1"/>
        <w:tabs>
          <w:tab w:val="left" w:pos="440"/>
          <w:tab w:val="right" w:leader="dot" w:pos="10150"/>
        </w:tabs>
        <w:rPr>
          <w:rFonts w:asciiTheme="minorHAnsi" w:eastAsiaTheme="minorEastAsia" w:hAnsiTheme="minorHAnsi" w:cstheme="minorBidi"/>
          <w:noProof/>
          <w:color w:val="auto"/>
        </w:rPr>
      </w:pPr>
      <w:hyperlink w:anchor="_Toc72135980" w:history="1">
        <w:r w:rsidRPr="0082207C">
          <w:rPr>
            <w:rStyle w:val="Hyperlink"/>
            <w:noProof/>
          </w:rPr>
          <w:t>2.</w:t>
        </w:r>
        <w:r>
          <w:rPr>
            <w:rFonts w:asciiTheme="minorHAnsi" w:eastAsiaTheme="minorEastAsia" w:hAnsiTheme="minorHAnsi" w:cstheme="minorBidi"/>
            <w:noProof/>
            <w:color w:val="auto"/>
          </w:rPr>
          <w:tab/>
        </w:r>
        <w:r w:rsidRPr="0082207C">
          <w:rPr>
            <w:rStyle w:val="Hyperlink"/>
            <w:noProof/>
          </w:rPr>
          <w:t>Service Level Procedure: Metering Data Provider Services (SLP: MDP Services)</w:t>
        </w:r>
        <w:r>
          <w:rPr>
            <w:noProof/>
            <w:webHidden/>
          </w:rPr>
          <w:tab/>
        </w:r>
        <w:r>
          <w:rPr>
            <w:noProof/>
            <w:webHidden/>
          </w:rPr>
          <w:fldChar w:fldCharType="begin"/>
        </w:r>
        <w:r>
          <w:rPr>
            <w:noProof/>
            <w:webHidden/>
          </w:rPr>
          <w:instrText xml:space="preserve"> PAGEREF _Toc72135980 \h </w:instrText>
        </w:r>
        <w:r>
          <w:rPr>
            <w:noProof/>
            <w:webHidden/>
          </w:rPr>
        </w:r>
        <w:r>
          <w:rPr>
            <w:noProof/>
            <w:webHidden/>
          </w:rPr>
          <w:fldChar w:fldCharType="separate"/>
        </w:r>
        <w:r>
          <w:rPr>
            <w:noProof/>
            <w:webHidden/>
          </w:rPr>
          <w:t>3</w:t>
        </w:r>
        <w:r>
          <w:rPr>
            <w:noProof/>
            <w:webHidden/>
          </w:rPr>
          <w:fldChar w:fldCharType="end"/>
        </w:r>
      </w:hyperlink>
    </w:p>
    <w:p w14:paraId="12F4AD49" w14:textId="22BC7296" w:rsidR="00FF01BD" w:rsidRDefault="00FF01BD">
      <w:pPr>
        <w:pStyle w:val="TOC1"/>
        <w:tabs>
          <w:tab w:val="left" w:pos="440"/>
          <w:tab w:val="right" w:leader="dot" w:pos="10150"/>
        </w:tabs>
        <w:rPr>
          <w:rFonts w:asciiTheme="minorHAnsi" w:eastAsiaTheme="minorEastAsia" w:hAnsiTheme="minorHAnsi" w:cstheme="minorBidi"/>
          <w:noProof/>
          <w:color w:val="auto"/>
        </w:rPr>
      </w:pPr>
      <w:hyperlink w:anchor="_Toc72135981" w:history="1">
        <w:r w:rsidRPr="0082207C">
          <w:rPr>
            <w:rStyle w:val="Hyperlink"/>
            <w:noProof/>
          </w:rPr>
          <w:t>3.</w:t>
        </w:r>
        <w:r>
          <w:rPr>
            <w:rFonts w:asciiTheme="minorHAnsi" w:eastAsiaTheme="minorEastAsia" w:hAnsiTheme="minorHAnsi" w:cstheme="minorBidi"/>
            <w:noProof/>
            <w:color w:val="auto"/>
          </w:rPr>
          <w:tab/>
        </w:r>
        <w:r w:rsidRPr="0082207C">
          <w:rPr>
            <w:rStyle w:val="Hyperlink"/>
            <w:noProof/>
          </w:rPr>
          <w:t>Metrology Procedure: Part A - National Electricity Market (Metrology Procedure: Part A)</w:t>
        </w:r>
        <w:r>
          <w:rPr>
            <w:noProof/>
            <w:webHidden/>
          </w:rPr>
          <w:tab/>
        </w:r>
        <w:r>
          <w:rPr>
            <w:noProof/>
            <w:webHidden/>
          </w:rPr>
          <w:fldChar w:fldCharType="begin"/>
        </w:r>
        <w:r>
          <w:rPr>
            <w:noProof/>
            <w:webHidden/>
          </w:rPr>
          <w:instrText xml:space="preserve"> PAGEREF _Toc72135981 \h </w:instrText>
        </w:r>
        <w:r>
          <w:rPr>
            <w:noProof/>
            <w:webHidden/>
          </w:rPr>
        </w:r>
        <w:r>
          <w:rPr>
            <w:noProof/>
            <w:webHidden/>
          </w:rPr>
          <w:fldChar w:fldCharType="separate"/>
        </w:r>
        <w:r>
          <w:rPr>
            <w:noProof/>
            <w:webHidden/>
          </w:rPr>
          <w:t>4</w:t>
        </w:r>
        <w:r>
          <w:rPr>
            <w:noProof/>
            <w:webHidden/>
          </w:rPr>
          <w:fldChar w:fldCharType="end"/>
        </w:r>
      </w:hyperlink>
    </w:p>
    <w:p w14:paraId="4FA88A55" w14:textId="27BFE31F" w:rsidR="00FF01BD" w:rsidRDefault="00FF01BD">
      <w:pPr>
        <w:pStyle w:val="TOC1"/>
        <w:tabs>
          <w:tab w:val="left" w:pos="440"/>
          <w:tab w:val="right" w:leader="dot" w:pos="10150"/>
        </w:tabs>
        <w:rPr>
          <w:rFonts w:asciiTheme="minorHAnsi" w:eastAsiaTheme="minorEastAsia" w:hAnsiTheme="minorHAnsi" w:cstheme="minorBidi"/>
          <w:noProof/>
          <w:color w:val="auto"/>
        </w:rPr>
      </w:pPr>
      <w:hyperlink w:anchor="_Toc72135982" w:history="1">
        <w:r w:rsidRPr="0082207C">
          <w:rPr>
            <w:rStyle w:val="Hyperlink"/>
            <w:noProof/>
          </w:rPr>
          <w:t>4.</w:t>
        </w:r>
        <w:r>
          <w:rPr>
            <w:rFonts w:asciiTheme="minorHAnsi" w:eastAsiaTheme="minorEastAsia" w:hAnsiTheme="minorHAnsi" w:cstheme="minorBidi"/>
            <w:noProof/>
            <w:color w:val="auto"/>
          </w:rPr>
          <w:tab/>
        </w:r>
        <w:r w:rsidRPr="0082207C">
          <w:rPr>
            <w:rStyle w:val="Hyperlink"/>
            <w:noProof/>
          </w:rPr>
          <w:t>MSATS Procedures: Consumer Administration and Transfer Solution (CATS) Procedure Principles and Obligation  (MSATS Procedures: CATS)</w:t>
        </w:r>
        <w:r>
          <w:rPr>
            <w:noProof/>
            <w:webHidden/>
          </w:rPr>
          <w:tab/>
        </w:r>
        <w:r>
          <w:rPr>
            <w:noProof/>
            <w:webHidden/>
          </w:rPr>
          <w:fldChar w:fldCharType="begin"/>
        </w:r>
        <w:r>
          <w:rPr>
            <w:noProof/>
            <w:webHidden/>
          </w:rPr>
          <w:instrText xml:space="preserve"> PAGEREF _Toc72135982 \h </w:instrText>
        </w:r>
        <w:r>
          <w:rPr>
            <w:noProof/>
            <w:webHidden/>
          </w:rPr>
        </w:r>
        <w:r>
          <w:rPr>
            <w:noProof/>
            <w:webHidden/>
          </w:rPr>
          <w:fldChar w:fldCharType="separate"/>
        </w:r>
        <w:r>
          <w:rPr>
            <w:noProof/>
            <w:webHidden/>
          </w:rPr>
          <w:t>5</w:t>
        </w:r>
        <w:r>
          <w:rPr>
            <w:noProof/>
            <w:webHidden/>
          </w:rPr>
          <w:fldChar w:fldCharType="end"/>
        </w:r>
      </w:hyperlink>
    </w:p>
    <w:p w14:paraId="0FCFBD4B" w14:textId="6B9E2CA5" w:rsidR="00FF01BD" w:rsidRDefault="00FF01BD">
      <w:pPr>
        <w:pStyle w:val="TOC1"/>
        <w:tabs>
          <w:tab w:val="left" w:pos="440"/>
          <w:tab w:val="right" w:leader="dot" w:pos="10150"/>
        </w:tabs>
        <w:rPr>
          <w:rFonts w:asciiTheme="minorHAnsi" w:eastAsiaTheme="minorEastAsia" w:hAnsiTheme="minorHAnsi" w:cstheme="minorBidi"/>
          <w:noProof/>
          <w:color w:val="auto"/>
        </w:rPr>
      </w:pPr>
      <w:hyperlink w:anchor="_Toc72135983" w:history="1">
        <w:r w:rsidRPr="0082207C">
          <w:rPr>
            <w:rStyle w:val="Hyperlink"/>
            <w:noProof/>
          </w:rPr>
          <w:t>5.</w:t>
        </w:r>
        <w:r>
          <w:rPr>
            <w:rFonts w:asciiTheme="minorHAnsi" w:eastAsiaTheme="minorEastAsia" w:hAnsiTheme="minorHAnsi" w:cstheme="minorBidi"/>
            <w:noProof/>
            <w:color w:val="auto"/>
          </w:rPr>
          <w:tab/>
        </w:r>
        <w:r w:rsidRPr="0082207C">
          <w:rPr>
            <w:rStyle w:val="Hyperlink"/>
            <w:noProof/>
          </w:rPr>
          <w:t>Standing Data for MSATS (Standing Data document)</w:t>
        </w:r>
        <w:r>
          <w:rPr>
            <w:noProof/>
            <w:webHidden/>
          </w:rPr>
          <w:tab/>
        </w:r>
        <w:r>
          <w:rPr>
            <w:noProof/>
            <w:webHidden/>
          </w:rPr>
          <w:fldChar w:fldCharType="begin"/>
        </w:r>
        <w:r>
          <w:rPr>
            <w:noProof/>
            <w:webHidden/>
          </w:rPr>
          <w:instrText xml:space="preserve"> PAGEREF _Toc72135983 \h </w:instrText>
        </w:r>
        <w:r>
          <w:rPr>
            <w:noProof/>
            <w:webHidden/>
          </w:rPr>
        </w:r>
        <w:r>
          <w:rPr>
            <w:noProof/>
            <w:webHidden/>
          </w:rPr>
          <w:fldChar w:fldCharType="separate"/>
        </w:r>
        <w:r>
          <w:rPr>
            <w:noProof/>
            <w:webHidden/>
          </w:rPr>
          <w:t>6</w:t>
        </w:r>
        <w:r>
          <w:rPr>
            <w:noProof/>
            <w:webHidden/>
          </w:rPr>
          <w:fldChar w:fldCharType="end"/>
        </w:r>
      </w:hyperlink>
    </w:p>
    <w:p w14:paraId="2F9D94A1" w14:textId="3192A679" w:rsidR="00FF01BD" w:rsidRDefault="00FF01BD">
      <w:pPr>
        <w:pStyle w:val="TOC1"/>
        <w:tabs>
          <w:tab w:val="left" w:pos="440"/>
          <w:tab w:val="right" w:leader="dot" w:pos="10150"/>
        </w:tabs>
        <w:rPr>
          <w:rFonts w:asciiTheme="minorHAnsi" w:eastAsiaTheme="minorEastAsia" w:hAnsiTheme="minorHAnsi" w:cstheme="minorBidi"/>
          <w:noProof/>
          <w:color w:val="auto"/>
        </w:rPr>
      </w:pPr>
      <w:hyperlink w:anchor="_Toc72135984" w:history="1">
        <w:r w:rsidRPr="0082207C">
          <w:rPr>
            <w:rStyle w:val="Hyperlink"/>
            <w:noProof/>
          </w:rPr>
          <w:t>6.</w:t>
        </w:r>
        <w:r>
          <w:rPr>
            <w:rFonts w:asciiTheme="minorHAnsi" w:eastAsiaTheme="minorEastAsia" w:hAnsiTheme="minorHAnsi" w:cstheme="minorBidi"/>
            <w:noProof/>
            <w:color w:val="auto"/>
          </w:rPr>
          <w:tab/>
        </w:r>
        <w:r w:rsidRPr="0082207C">
          <w:rPr>
            <w:rStyle w:val="Hyperlink"/>
            <w:noProof/>
          </w:rPr>
          <w:t>Retail Electricity Market Procedures – Glossary and Framework (Glossary/Framework)</w:t>
        </w:r>
        <w:r>
          <w:rPr>
            <w:noProof/>
            <w:webHidden/>
          </w:rPr>
          <w:tab/>
        </w:r>
        <w:r>
          <w:rPr>
            <w:noProof/>
            <w:webHidden/>
          </w:rPr>
          <w:fldChar w:fldCharType="begin"/>
        </w:r>
        <w:r>
          <w:rPr>
            <w:noProof/>
            <w:webHidden/>
          </w:rPr>
          <w:instrText xml:space="preserve"> PAGEREF _Toc72135984 \h </w:instrText>
        </w:r>
        <w:r>
          <w:rPr>
            <w:noProof/>
            <w:webHidden/>
          </w:rPr>
        </w:r>
        <w:r>
          <w:rPr>
            <w:noProof/>
            <w:webHidden/>
          </w:rPr>
          <w:fldChar w:fldCharType="separate"/>
        </w:r>
        <w:r>
          <w:rPr>
            <w:noProof/>
            <w:webHidden/>
          </w:rPr>
          <w:t>6</w:t>
        </w:r>
        <w:r>
          <w:rPr>
            <w:noProof/>
            <w:webHidden/>
          </w:rPr>
          <w:fldChar w:fldCharType="end"/>
        </w:r>
      </w:hyperlink>
    </w:p>
    <w:p w14:paraId="4B5BA8AC" w14:textId="4F5AF207" w:rsidR="00FF01BD" w:rsidRDefault="00FF01BD">
      <w:pPr>
        <w:pStyle w:val="TOC1"/>
        <w:tabs>
          <w:tab w:val="left" w:pos="440"/>
          <w:tab w:val="right" w:leader="dot" w:pos="10150"/>
        </w:tabs>
        <w:rPr>
          <w:rFonts w:asciiTheme="minorHAnsi" w:eastAsiaTheme="minorEastAsia" w:hAnsiTheme="minorHAnsi" w:cstheme="minorBidi"/>
          <w:noProof/>
          <w:color w:val="auto"/>
        </w:rPr>
      </w:pPr>
      <w:hyperlink w:anchor="_Toc72135985" w:history="1">
        <w:r w:rsidRPr="0082207C">
          <w:rPr>
            <w:rStyle w:val="Hyperlink"/>
            <w:noProof/>
          </w:rPr>
          <w:t>7.</w:t>
        </w:r>
        <w:r>
          <w:rPr>
            <w:rFonts w:asciiTheme="minorHAnsi" w:eastAsiaTheme="minorEastAsia" w:hAnsiTheme="minorHAnsi" w:cstheme="minorBidi"/>
            <w:noProof/>
            <w:color w:val="auto"/>
          </w:rPr>
          <w:tab/>
        </w:r>
        <w:r w:rsidRPr="0082207C">
          <w:rPr>
            <w:rStyle w:val="Hyperlink"/>
            <w:noProof/>
          </w:rPr>
          <w:t>MSATS Procedures: Procedure for the Management of Wholesale, Interconnector, Generator and Sample (WIGS) NMIS (MSATS Procedures: WIGS)</w:t>
        </w:r>
        <w:r>
          <w:rPr>
            <w:noProof/>
            <w:webHidden/>
          </w:rPr>
          <w:tab/>
        </w:r>
        <w:r>
          <w:rPr>
            <w:noProof/>
            <w:webHidden/>
          </w:rPr>
          <w:fldChar w:fldCharType="begin"/>
        </w:r>
        <w:r>
          <w:rPr>
            <w:noProof/>
            <w:webHidden/>
          </w:rPr>
          <w:instrText xml:space="preserve"> PAGEREF _Toc72135985 \h </w:instrText>
        </w:r>
        <w:r>
          <w:rPr>
            <w:noProof/>
            <w:webHidden/>
          </w:rPr>
        </w:r>
        <w:r>
          <w:rPr>
            <w:noProof/>
            <w:webHidden/>
          </w:rPr>
          <w:fldChar w:fldCharType="separate"/>
        </w:r>
        <w:r>
          <w:rPr>
            <w:noProof/>
            <w:webHidden/>
          </w:rPr>
          <w:t>8</w:t>
        </w:r>
        <w:r>
          <w:rPr>
            <w:noProof/>
            <w:webHidden/>
          </w:rPr>
          <w:fldChar w:fldCharType="end"/>
        </w:r>
      </w:hyperlink>
    </w:p>
    <w:p w14:paraId="1662B391" w14:textId="2A2983A7" w:rsidR="00FF01BD" w:rsidRDefault="00FF01BD">
      <w:pPr>
        <w:pStyle w:val="TOC1"/>
        <w:tabs>
          <w:tab w:val="left" w:pos="440"/>
          <w:tab w:val="right" w:leader="dot" w:pos="10150"/>
        </w:tabs>
        <w:rPr>
          <w:rFonts w:asciiTheme="minorHAnsi" w:eastAsiaTheme="minorEastAsia" w:hAnsiTheme="minorHAnsi" w:cstheme="minorBidi"/>
          <w:noProof/>
          <w:color w:val="auto"/>
        </w:rPr>
      </w:pPr>
      <w:hyperlink w:anchor="_Toc72135986" w:history="1">
        <w:r w:rsidRPr="0082207C">
          <w:rPr>
            <w:rStyle w:val="Hyperlink"/>
            <w:noProof/>
          </w:rPr>
          <w:t>8.</w:t>
        </w:r>
        <w:r>
          <w:rPr>
            <w:rFonts w:asciiTheme="minorHAnsi" w:eastAsiaTheme="minorEastAsia" w:hAnsiTheme="minorHAnsi" w:cstheme="minorBidi"/>
            <w:noProof/>
            <w:color w:val="auto"/>
          </w:rPr>
          <w:tab/>
        </w:r>
        <w:r w:rsidRPr="0082207C">
          <w:rPr>
            <w:rStyle w:val="Hyperlink"/>
            <w:noProof/>
          </w:rPr>
          <w:t>Questions on proposed changes</w:t>
        </w:r>
        <w:r>
          <w:rPr>
            <w:noProof/>
            <w:webHidden/>
          </w:rPr>
          <w:tab/>
        </w:r>
        <w:r>
          <w:rPr>
            <w:noProof/>
            <w:webHidden/>
          </w:rPr>
          <w:fldChar w:fldCharType="begin"/>
        </w:r>
        <w:r>
          <w:rPr>
            <w:noProof/>
            <w:webHidden/>
          </w:rPr>
          <w:instrText xml:space="preserve"> PAGEREF _Toc72135986 \h </w:instrText>
        </w:r>
        <w:r>
          <w:rPr>
            <w:noProof/>
            <w:webHidden/>
          </w:rPr>
        </w:r>
        <w:r>
          <w:rPr>
            <w:noProof/>
            <w:webHidden/>
          </w:rPr>
          <w:fldChar w:fldCharType="separate"/>
        </w:r>
        <w:r>
          <w:rPr>
            <w:noProof/>
            <w:webHidden/>
          </w:rPr>
          <w:t>9</w:t>
        </w:r>
        <w:r>
          <w:rPr>
            <w:noProof/>
            <w:webHidden/>
          </w:rPr>
          <w:fldChar w:fldCharType="end"/>
        </w:r>
      </w:hyperlink>
    </w:p>
    <w:p w14:paraId="12A285FF" w14:textId="638F766C" w:rsidR="008131CE" w:rsidRPr="006C1137" w:rsidRDefault="00D6187A">
      <w:pPr>
        <w:rPr>
          <w:rFonts w:cs="Calibri"/>
        </w:rPr>
      </w:pPr>
      <w:r w:rsidRPr="006C1137">
        <w:rPr>
          <w:rFonts w:cs="Calibri"/>
        </w:rPr>
        <w:fldChar w:fldCharType="end"/>
      </w:r>
    </w:p>
    <w:p w14:paraId="7FFB5171" w14:textId="77777777" w:rsidR="00E33744" w:rsidRPr="006C1137" w:rsidRDefault="00E33744">
      <w:pPr>
        <w:widowControl w:val="0"/>
        <w:autoSpaceDE w:val="0"/>
        <w:autoSpaceDN w:val="0"/>
        <w:adjustRightInd w:val="0"/>
        <w:spacing w:before="34" w:after="0" w:line="240" w:lineRule="auto"/>
        <w:ind w:left="119"/>
        <w:rPr>
          <w:rFonts w:cs="Calibri"/>
          <w:color w:val="000000"/>
          <w:sz w:val="20"/>
          <w:szCs w:val="20"/>
        </w:rPr>
        <w:sectPr w:rsidR="00E33744" w:rsidRPr="006C1137">
          <w:headerReference w:type="default" r:id="rId12"/>
          <w:pgSz w:w="11920" w:h="16860"/>
          <w:pgMar w:top="-20" w:right="460" w:bottom="280" w:left="1300" w:header="720" w:footer="720" w:gutter="0"/>
          <w:cols w:space="720"/>
          <w:noEndnote/>
        </w:sectPr>
      </w:pPr>
    </w:p>
    <w:p w14:paraId="677049AB" w14:textId="77777777" w:rsidR="008D6BAC" w:rsidRPr="006C1137" w:rsidRDefault="008D6BAC" w:rsidP="008D6BAC">
      <w:pPr>
        <w:pStyle w:val="Heading1"/>
        <w:rPr>
          <w:rFonts w:ascii="Calibri" w:hAnsi="Calibri" w:cs="Calibri"/>
        </w:rPr>
      </w:pPr>
      <w:bookmarkStart w:id="0" w:name="_Toc288746361"/>
      <w:bookmarkStart w:id="1" w:name="_Toc72135979"/>
      <w:r w:rsidRPr="006C1137">
        <w:rPr>
          <w:rFonts w:ascii="Calibri" w:hAnsi="Calibri" w:cs="Calibri"/>
        </w:rPr>
        <w:lastRenderedPageBreak/>
        <w:t>Context</w:t>
      </w:r>
      <w:bookmarkEnd w:id="1"/>
    </w:p>
    <w:p w14:paraId="59C71B6E" w14:textId="2726EEC6" w:rsidR="008D6BAC" w:rsidRPr="006C1137" w:rsidRDefault="008D6BAC" w:rsidP="008D6BAC">
      <w:pPr>
        <w:pStyle w:val="TableTitle"/>
        <w:spacing w:before="120" w:after="120"/>
        <w:rPr>
          <w:rFonts w:ascii="Calibri" w:hAnsi="Calibri" w:cs="Calibri"/>
          <w:b w:val="0"/>
          <w:color w:val="1E4164"/>
          <w:sz w:val="22"/>
          <w:szCs w:val="22"/>
        </w:rPr>
      </w:pPr>
      <w:r w:rsidRPr="006C1137">
        <w:rPr>
          <w:rFonts w:ascii="Calibri" w:hAnsi="Calibri" w:cs="Calibri"/>
          <w:b w:val="0"/>
          <w:color w:val="1E4164"/>
          <w:sz w:val="22"/>
          <w:szCs w:val="22"/>
        </w:rPr>
        <w:t xml:space="preserve">This template </w:t>
      </w:r>
      <w:r w:rsidR="00D22060" w:rsidRPr="006C1137">
        <w:rPr>
          <w:rFonts w:ascii="Calibri" w:hAnsi="Calibri" w:cs="Calibri"/>
          <w:b w:val="0"/>
          <w:color w:val="1E4164"/>
          <w:sz w:val="22"/>
          <w:szCs w:val="22"/>
        </w:rPr>
        <w:t>is</w:t>
      </w:r>
      <w:r w:rsidRPr="006C1137">
        <w:rPr>
          <w:rFonts w:ascii="Calibri" w:hAnsi="Calibri" w:cs="Calibri"/>
          <w:b w:val="0"/>
          <w:color w:val="1E4164"/>
          <w:sz w:val="22"/>
          <w:szCs w:val="22"/>
        </w:rPr>
        <w:t xml:space="preserve"> to assist </w:t>
      </w:r>
      <w:r w:rsidR="00032608" w:rsidRPr="006C1137">
        <w:rPr>
          <w:rFonts w:ascii="Calibri" w:hAnsi="Calibri" w:cs="Calibri"/>
          <w:b w:val="0"/>
          <w:color w:val="1E4164"/>
          <w:sz w:val="22"/>
          <w:szCs w:val="22"/>
        </w:rPr>
        <w:t>stakeholders</w:t>
      </w:r>
      <w:r w:rsidRPr="006C1137">
        <w:rPr>
          <w:rFonts w:ascii="Calibri" w:hAnsi="Calibri" w:cs="Calibri"/>
          <w:b w:val="0"/>
          <w:color w:val="1E4164"/>
          <w:sz w:val="22"/>
          <w:szCs w:val="22"/>
        </w:rPr>
        <w:t xml:space="preserve"> </w:t>
      </w:r>
      <w:r w:rsidR="00D22060" w:rsidRPr="006C1137">
        <w:rPr>
          <w:rFonts w:ascii="Calibri" w:hAnsi="Calibri" w:cs="Calibri"/>
          <w:b w:val="0"/>
          <w:color w:val="1E4164"/>
          <w:sz w:val="22"/>
          <w:szCs w:val="22"/>
        </w:rPr>
        <w:t>in giving</w:t>
      </w:r>
      <w:r w:rsidRPr="006C1137">
        <w:rPr>
          <w:rFonts w:ascii="Calibri" w:hAnsi="Calibri" w:cs="Calibri"/>
          <w:b w:val="0"/>
          <w:color w:val="1E4164"/>
          <w:sz w:val="22"/>
          <w:szCs w:val="22"/>
        </w:rPr>
        <w:t xml:space="preserve"> feedback </w:t>
      </w:r>
      <w:r w:rsidR="00D22060" w:rsidRPr="006C1137">
        <w:rPr>
          <w:rFonts w:ascii="Calibri" w:hAnsi="Calibri" w:cs="Calibri"/>
          <w:b w:val="0"/>
          <w:color w:val="1E4164"/>
          <w:sz w:val="22"/>
          <w:szCs w:val="22"/>
        </w:rPr>
        <w:t>about</w:t>
      </w:r>
      <w:r w:rsidRPr="006C1137">
        <w:rPr>
          <w:rFonts w:ascii="Calibri" w:hAnsi="Calibri" w:cs="Calibri"/>
          <w:b w:val="0"/>
          <w:color w:val="1E4164"/>
          <w:sz w:val="22"/>
          <w:szCs w:val="22"/>
        </w:rPr>
        <w:t xml:space="preserve"> the changes detailed in the</w:t>
      </w:r>
      <w:r w:rsidR="0010754E" w:rsidRPr="006C1137">
        <w:rPr>
          <w:rFonts w:ascii="Calibri" w:hAnsi="Calibri" w:cs="Calibri"/>
          <w:b w:val="0"/>
          <w:color w:val="1E4164"/>
          <w:sz w:val="22"/>
          <w:szCs w:val="22"/>
        </w:rPr>
        <w:t xml:space="preserve"> d</w:t>
      </w:r>
      <w:r w:rsidRPr="006C1137">
        <w:rPr>
          <w:rFonts w:ascii="Calibri" w:hAnsi="Calibri" w:cs="Calibri"/>
          <w:b w:val="0"/>
          <w:color w:val="1E4164"/>
          <w:sz w:val="22"/>
          <w:szCs w:val="22"/>
        </w:rPr>
        <w:t xml:space="preserve">raft </w:t>
      </w:r>
      <w:r w:rsidR="0010754E" w:rsidRPr="006C1137">
        <w:rPr>
          <w:rFonts w:ascii="Calibri" w:hAnsi="Calibri" w:cs="Calibri"/>
          <w:b w:val="0"/>
          <w:color w:val="1E4164"/>
          <w:sz w:val="22"/>
          <w:szCs w:val="22"/>
        </w:rPr>
        <w:t>p</w:t>
      </w:r>
      <w:r w:rsidRPr="006C1137">
        <w:rPr>
          <w:rFonts w:ascii="Calibri" w:hAnsi="Calibri" w:cs="Calibri"/>
          <w:b w:val="0"/>
          <w:color w:val="1E4164"/>
          <w:sz w:val="22"/>
          <w:szCs w:val="22"/>
        </w:rPr>
        <w:t xml:space="preserve">rocedures associated </w:t>
      </w:r>
      <w:r w:rsidR="00D22060" w:rsidRPr="006C1137">
        <w:rPr>
          <w:rFonts w:ascii="Calibri" w:hAnsi="Calibri" w:cs="Calibri"/>
          <w:b w:val="0"/>
          <w:color w:val="1E4164"/>
          <w:sz w:val="22"/>
          <w:szCs w:val="22"/>
        </w:rPr>
        <w:t xml:space="preserve">with </w:t>
      </w:r>
      <w:r w:rsidR="0010754E" w:rsidRPr="006C1137">
        <w:rPr>
          <w:rFonts w:ascii="Calibri" w:hAnsi="Calibri" w:cs="Calibri"/>
          <w:b w:val="0"/>
          <w:color w:val="1E4164"/>
          <w:sz w:val="22"/>
          <w:szCs w:val="22"/>
        </w:rPr>
        <w:t xml:space="preserve">the </w:t>
      </w:r>
      <w:r w:rsidR="00A53E21" w:rsidRPr="00A53E21">
        <w:rPr>
          <w:rFonts w:ascii="Calibri" w:hAnsi="Calibri" w:cs="Calibri"/>
          <w:b w:val="0"/>
          <w:color w:val="1E4164"/>
          <w:sz w:val="22"/>
          <w:szCs w:val="22"/>
        </w:rPr>
        <w:t>Retail Electricity Market Procedures March 2021</w:t>
      </w:r>
      <w:r w:rsidR="00A53E21">
        <w:rPr>
          <w:rFonts w:ascii="Calibri" w:hAnsi="Calibri" w:cs="Calibri"/>
          <w:b w:val="0"/>
          <w:color w:val="1E4164"/>
          <w:sz w:val="22"/>
          <w:szCs w:val="22"/>
        </w:rPr>
        <w:t xml:space="preserve"> </w:t>
      </w:r>
      <w:r w:rsidR="0010754E" w:rsidRPr="006C1137">
        <w:rPr>
          <w:rFonts w:ascii="Calibri" w:hAnsi="Calibri" w:cs="Calibri"/>
          <w:b w:val="0"/>
          <w:color w:val="1E4164"/>
          <w:sz w:val="22"/>
          <w:szCs w:val="22"/>
        </w:rPr>
        <w:t>consultation</w:t>
      </w:r>
      <w:r w:rsidRPr="006C1137">
        <w:rPr>
          <w:rFonts w:ascii="Calibri" w:hAnsi="Calibri" w:cs="Calibri"/>
          <w:b w:val="0"/>
          <w:color w:val="1E4164"/>
          <w:sz w:val="22"/>
          <w:szCs w:val="22"/>
        </w:rPr>
        <w:t>.</w:t>
      </w:r>
    </w:p>
    <w:p w14:paraId="467443E5" w14:textId="3DEDB2A2" w:rsidR="00F52152" w:rsidRPr="006C1137" w:rsidRDefault="008D6BAC" w:rsidP="008D6BAC">
      <w:pPr>
        <w:pStyle w:val="TableTitle"/>
        <w:spacing w:before="120" w:after="120"/>
        <w:rPr>
          <w:rFonts w:ascii="Calibri" w:hAnsi="Calibri" w:cs="Calibri"/>
          <w:b w:val="0"/>
          <w:color w:val="1E4164"/>
          <w:sz w:val="22"/>
          <w:szCs w:val="22"/>
        </w:rPr>
      </w:pPr>
      <w:r w:rsidRPr="006C1137">
        <w:rPr>
          <w:rFonts w:ascii="Calibri" w:hAnsi="Calibri" w:cs="Calibri"/>
          <w:b w:val="0"/>
          <w:color w:val="1E4164"/>
          <w:sz w:val="22"/>
          <w:szCs w:val="22"/>
        </w:rPr>
        <w:t xml:space="preserve">The changes </w:t>
      </w:r>
      <w:r w:rsidR="0010754E" w:rsidRPr="006C1137">
        <w:rPr>
          <w:rFonts w:ascii="Calibri" w:hAnsi="Calibri" w:cs="Calibri"/>
          <w:b w:val="0"/>
          <w:color w:val="1E4164"/>
          <w:sz w:val="22"/>
          <w:szCs w:val="22"/>
        </w:rPr>
        <w:t xml:space="preserve">being proposed </w:t>
      </w:r>
      <w:r w:rsidRPr="006C1137">
        <w:rPr>
          <w:rFonts w:ascii="Calibri" w:hAnsi="Calibri" w:cs="Calibri"/>
          <w:b w:val="0"/>
          <w:color w:val="1E4164"/>
          <w:sz w:val="22"/>
          <w:szCs w:val="22"/>
        </w:rPr>
        <w:t xml:space="preserve">are </w:t>
      </w:r>
      <w:r w:rsidR="0008262D" w:rsidRPr="006C1137">
        <w:rPr>
          <w:rFonts w:ascii="Calibri" w:hAnsi="Calibri" w:cs="Calibri"/>
          <w:b w:val="0"/>
          <w:color w:val="1E4164"/>
          <w:sz w:val="22"/>
          <w:szCs w:val="22"/>
        </w:rPr>
        <w:t>because of</w:t>
      </w:r>
      <w:r w:rsidRPr="006C1137">
        <w:rPr>
          <w:rFonts w:ascii="Calibri" w:hAnsi="Calibri" w:cs="Calibri"/>
          <w:b w:val="0"/>
          <w:color w:val="1E4164"/>
          <w:sz w:val="22"/>
          <w:szCs w:val="22"/>
        </w:rPr>
        <w:t xml:space="preserve"> </w:t>
      </w:r>
      <w:r w:rsidR="00853045" w:rsidRPr="006C1137">
        <w:rPr>
          <w:rFonts w:ascii="Calibri" w:hAnsi="Calibri" w:cs="Calibri"/>
          <w:b w:val="0"/>
          <w:color w:val="1E4164"/>
          <w:sz w:val="22"/>
          <w:szCs w:val="22"/>
        </w:rPr>
        <w:t xml:space="preserve">NER rule changes which have occurred requiring changes to AEMO’s Retail Electricity Market Procedures and the following proposed changes by </w:t>
      </w:r>
      <w:r w:rsidR="0008262D" w:rsidRPr="006C1137">
        <w:rPr>
          <w:rFonts w:ascii="Calibri" w:hAnsi="Calibri" w:cs="Calibri"/>
          <w:b w:val="0"/>
          <w:color w:val="1E4164"/>
          <w:sz w:val="22"/>
          <w:szCs w:val="22"/>
        </w:rPr>
        <w:t>proponents</w:t>
      </w:r>
      <w:r w:rsidR="00853045" w:rsidRPr="006C1137">
        <w:rPr>
          <w:rFonts w:ascii="Calibri" w:hAnsi="Calibri" w:cs="Calibri"/>
          <w:b w:val="0"/>
          <w:color w:val="1E4164"/>
          <w:sz w:val="22"/>
          <w:szCs w:val="22"/>
        </w:rPr>
        <w:t xml:space="preserve"> and AEMO to implement recommended process improvements</w:t>
      </w:r>
      <w:r w:rsidRPr="006C1137">
        <w:rPr>
          <w:rFonts w:ascii="Calibri" w:hAnsi="Calibri" w:cs="Calibri"/>
          <w:b w:val="0"/>
          <w:color w:val="1E4164"/>
          <w:sz w:val="22"/>
          <w:szCs w:val="22"/>
        </w:rPr>
        <w:t>.</w:t>
      </w:r>
    </w:p>
    <w:p w14:paraId="755D8879" w14:textId="70C97151" w:rsidR="00853045" w:rsidRPr="00310786" w:rsidRDefault="00310786" w:rsidP="00310786">
      <w:pPr>
        <w:pStyle w:val="Heading1"/>
      </w:pPr>
      <w:bookmarkStart w:id="2" w:name="_Toc72135980"/>
      <w:r w:rsidRPr="00310786">
        <w:t>Service Level Procedure: Metering Data Provider Services (SLP: MDP Services)</w:t>
      </w:r>
      <w:bookmarkEnd w:id="2"/>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6804"/>
        <w:gridCol w:w="4536"/>
      </w:tblGrid>
      <w:tr w:rsidR="00853045" w:rsidRPr="006C1137" w14:paraId="6C35B05D" w14:textId="77777777" w:rsidTr="00821FFF">
        <w:trPr>
          <w:tblHeader/>
        </w:trPr>
        <w:tc>
          <w:tcPr>
            <w:tcW w:w="1701" w:type="dxa"/>
            <w:shd w:val="clear" w:color="auto" w:fill="D9D9D9"/>
          </w:tcPr>
          <w:p w14:paraId="3CDF1FC1" w14:textId="77777777" w:rsidR="00853045" w:rsidRPr="006C1137" w:rsidRDefault="00853045" w:rsidP="007E769F">
            <w:pPr>
              <w:keepNext/>
              <w:spacing w:before="120" w:after="120"/>
              <w:outlineLvl w:val="1"/>
              <w:rPr>
                <w:rFonts w:cs="Calibri"/>
                <w:b/>
                <w:bCs/>
                <w:iCs/>
                <w:sz w:val="28"/>
                <w:szCs w:val="28"/>
              </w:rPr>
            </w:pPr>
            <w:r w:rsidRPr="006C1137">
              <w:rPr>
                <w:rFonts w:cs="Calibri"/>
                <w:b/>
                <w:bCs/>
                <w:iCs/>
                <w:sz w:val="28"/>
                <w:szCs w:val="28"/>
              </w:rPr>
              <w:t>Section</w:t>
            </w:r>
          </w:p>
        </w:tc>
        <w:tc>
          <w:tcPr>
            <w:tcW w:w="6804" w:type="dxa"/>
            <w:shd w:val="clear" w:color="auto" w:fill="D9D9D9"/>
          </w:tcPr>
          <w:p w14:paraId="56D1F731" w14:textId="77777777" w:rsidR="00853045" w:rsidRPr="006C1137" w:rsidRDefault="00853045" w:rsidP="007E769F">
            <w:pPr>
              <w:keepNext/>
              <w:spacing w:before="120" w:after="120"/>
              <w:outlineLvl w:val="1"/>
              <w:rPr>
                <w:rFonts w:cs="Calibri"/>
                <w:b/>
                <w:bCs/>
                <w:iCs/>
                <w:sz w:val="28"/>
                <w:szCs w:val="28"/>
              </w:rPr>
            </w:pPr>
            <w:r w:rsidRPr="006C1137">
              <w:rPr>
                <w:rFonts w:cs="Calibri"/>
                <w:b/>
                <w:bCs/>
                <w:iCs/>
                <w:sz w:val="28"/>
                <w:szCs w:val="28"/>
              </w:rPr>
              <w:t>Description</w:t>
            </w:r>
          </w:p>
        </w:tc>
        <w:tc>
          <w:tcPr>
            <w:tcW w:w="4536" w:type="dxa"/>
            <w:shd w:val="clear" w:color="auto" w:fill="D9D9D9"/>
          </w:tcPr>
          <w:p w14:paraId="500508F6" w14:textId="77777777" w:rsidR="00853045" w:rsidRPr="006C1137" w:rsidRDefault="00853045" w:rsidP="007E769F">
            <w:pPr>
              <w:keepNext/>
              <w:spacing w:before="120" w:after="120"/>
              <w:outlineLvl w:val="1"/>
              <w:rPr>
                <w:rFonts w:cs="Calibri"/>
                <w:color w:val="1E4164"/>
              </w:rPr>
            </w:pPr>
            <w:r w:rsidRPr="006C1137">
              <w:rPr>
                <w:rFonts w:cs="Calibri"/>
                <w:b/>
                <w:bCs/>
                <w:iCs/>
                <w:sz w:val="28"/>
                <w:szCs w:val="28"/>
              </w:rPr>
              <w:t>Participant Comments</w:t>
            </w:r>
          </w:p>
        </w:tc>
      </w:tr>
      <w:tr w:rsidR="00F52152" w:rsidRPr="006C1137" w14:paraId="560BC82E" w14:textId="77777777" w:rsidTr="00821FFF">
        <w:tc>
          <w:tcPr>
            <w:tcW w:w="1701" w:type="dxa"/>
            <w:shd w:val="clear" w:color="auto" w:fill="auto"/>
          </w:tcPr>
          <w:p w14:paraId="08A5DE55" w14:textId="7EDD6119" w:rsidR="00F52152" w:rsidRPr="006C1137" w:rsidRDefault="00F52152" w:rsidP="00F52152">
            <w:pPr>
              <w:rPr>
                <w:rFonts w:eastAsia="Calibri" w:cs="Calibri"/>
              </w:rPr>
            </w:pPr>
            <w:r w:rsidRPr="006C1137">
              <w:rPr>
                <w:rFonts w:eastAsia="Calibri"/>
              </w:rPr>
              <w:t>2.4.3 Reactive Energy</w:t>
            </w:r>
          </w:p>
        </w:tc>
        <w:tc>
          <w:tcPr>
            <w:tcW w:w="6804" w:type="dxa"/>
            <w:shd w:val="clear" w:color="auto" w:fill="auto"/>
          </w:tcPr>
          <w:p w14:paraId="0DE2E609" w14:textId="77777777" w:rsidR="00F52152" w:rsidRPr="006C1137" w:rsidRDefault="00F52152" w:rsidP="00F52152">
            <w:pPr>
              <w:spacing w:after="120" w:line="240" w:lineRule="auto"/>
              <w:rPr>
                <w:rFonts w:eastAsia="Calibri"/>
              </w:rPr>
            </w:pPr>
            <w:r w:rsidRPr="006C1137">
              <w:rPr>
                <w:rFonts w:eastAsia="Calibri"/>
              </w:rPr>
              <w:t>Amend the wording to read:</w:t>
            </w:r>
          </w:p>
          <w:p w14:paraId="3CBB969B" w14:textId="77777777" w:rsidR="00FB32C8" w:rsidRDefault="00FB32C8" w:rsidP="002D0BC2">
            <w:pPr>
              <w:pStyle w:val="Lista"/>
              <w:numPr>
                <w:ilvl w:val="1"/>
                <w:numId w:val="38"/>
              </w:numPr>
              <w:tabs>
                <w:tab w:val="clear" w:pos="1276"/>
                <w:tab w:val="num" w:pos="737"/>
              </w:tabs>
              <w:ind w:left="737"/>
            </w:pPr>
            <w:r w:rsidRPr="004F202B">
              <w:t xml:space="preserve">Subject to paragraph (b), where the </w:t>
            </w:r>
            <w:r w:rsidRPr="004F202B">
              <w:rPr>
                <w:i/>
              </w:rPr>
              <w:t>metering installation</w:t>
            </w:r>
            <w:r w:rsidRPr="004F202B">
              <w:t xml:space="preserve"> is configured to measure </w:t>
            </w:r>
            <w:r w:rsidRPr="004F202B">
              <w:rPr>
                <w:i/>
                <w:iCs/>
              </w:rPr>
              <w:t>reactive energy</w:t>
            </w:r>
            <w:r w:rsidRPr="004F202B">
              <w:t xml:space="preserve">, the MDP must store this </w:t>
            </w:r>
            <w:r w:rsidRPr="004F202B">
              <w:rPr>
                <w:i/>
                <w:iCs/>
              </w:rPr>
              <w:t>metering data</w:t>
            </w:r>
            <w:r w:rsidRPr="004F202B">
              <w:t xml:space="preserve"> with the </w:t>
            </w:r>
            <w:r w:rsidRPr="004F202B">
              <w:rPr>
                <w:i/>
                <w:iCs/>
              </w:rPr>
              <w:t>metering data</w:t>
            </w:r>
            <w:r w:rsidRPr="004F202B">
              <w:t xml:space="preserve"> in respect of </w:t>
            </w:r>
            <w:r w:rsidRPr="004F202B">
              <w:rPr>
                <w:i/>
                <w:iCs/>
              </w:rPr>
              <w:t>active energy</w:t>
            </w:r>
            <w:r w:rsidRPr="004F202B">
              <w:t xml:space="preserve"> in the </w:t>
            </w:r>
            <w:r w:rsidRPr="004F202B">
              <w:rPr>
                <w:i/>
                <w:iCs/>
              </w:rPr>
              <w:t>metering data services database</w:t>
            </w:r>
            <w:r w:rsidRPr="004F202B">
              <w:t>.</w:t>
            </w:r>
          </w:p>
          <w:p w14:paraId="038D9599" w14:textId="77777777" w:rsidR="00FB32C8" w:rsidRPr="000048D1" w:rsidRDefault="00FB32C8" w:rsidP="002D0BC2">
            <w:pPr>
              <w:pStyle w:val="Lista"/>
              <w:tabs>
                <w:tab w:val="num" w:pos="737"/>
              </w:tabs>
              <w:ind w:left="737" w:hanging="567"/>
              <w:rPr>
                <w:color w:val="0070C0"/>
                <w:u w:val="single"/>
              </w:rPr>
            </w:pPr>
            <w:r w:rsidRPr="004F202B">
              <w:t xml:space="preserve">The </w:t>
            </w:r>
            <w:r w:rsidRPr="000048D1">
              <w:rPr>
                <w:i/>
                <w:iCs/>
              </w:rPr>
              <w:t>MDP</w:t>
            </w:r>
            <w:r w:rsidRPr="004F202B">
              <w:t xml:space="preserve"> is not subject to the storage requirement in paragraph (a), if the </w:t>
            </w:r>
            <w:r w:rsidRPr="004F202B">
              <w:rPr>
                <w:i/>
                <w:iCs/>
              </w:rPr>
              <w:t>metering data</w:t>
            </w:r>
            <w:r w:rsidRPr="004F202B">
              <w:t xml:space="preserve"> in respect of </w:t>
            </w:r>
            <w:r w:rsidRPr="004F202B">
              <w:rPr>
                <w:i/>
                <w:iCs/>
              </w:rPr>
              <w:t>reactive energy</w:t>
            </w:r>
            <w:r w:rsidRPr="004F202B">
              <w:t xml:space="preserve"> as measured by a </w:t>
            </w:r>
            <w:r>
              <w:t>T</w:t>
            </w:r>
            <w:r w:rsidRPr="004F202B">
              <w:t>ype 4</w:t>
            </w:r>
            <w:r>
              <w:t xml:space="preserve"> </w:t>
            </w:r>
            <w:r w:rsidRPr="008E4EEF">
              <w:rPr>
                <w:i/>
                <w:iCs/>
              </w:rPr>
              <w:t>small customer</w:t>
            </w:r>
            <w:r w:rsidRPr="00DF1A9A">
              <w:t>, type 5 or VICAMI</w:t>
            </w:r>
            <w:r w:rsidRPr="004F202B">
              <w:t xml:space="preserve"> </w:t>
            </w:r>
            <w:r w:rsidRPr="000048D1">
              <w:rPr>
                <w:i/>
                <w:iCs/>
              </w:rPr>
              <w:t>metering installation</w:t>
            </w:r>
            <w:r w:rsidRPr="004F202B">
              <w:t xml:space="preserve"> is not required for the current purposes of either:</w:t>
            </w:r>
          </w:p>
          <w:p w14:paraId="69B0C786" w14:textId="77777777" w:rsidR="00FB32C8" w:rsidRDefault="00FB32C8" w:rsidP="002D0BC2">
            <w:pPr>
              <w:pStyle w:val="Listi"/>
              <w:tabs>
                <w:tab w:val="num" w:pos="1304"/>
              </w:tabs>
              <w:ind w:left="1304" w:hanging="567"/>
            </w:pPr>
            <w:r w:rsidRPr="000048D1">
              <w:t>provision to a requesting party, as may be required for the purposes of additional services under NER 7.4.3; or</w:t>
            </w:r>
          </w:p>
          <w:p w14:paraId="5E4F1049" w14:textId="554C11CF" w:rsidR="00F52152" w:rsidRPr="00FF0E9D" w:rsidRDefault="00FB32C8" w:rsidP="002D0BC2">
            <w:pPr>
              <w:pStyle w:val="Listi"/>
              <w:tabs>
                <w:tab w:val="num" w:pos="1304"/>
              </w:tabs>
              <w:ind w:left="1304" w:hanging="567"/>
            </w:pPr>
            <w:r w:rsidRPr="000048D1">
              <w:t xml:space="preserve">application of a </w:t>
            </w:r>
            <w:r w:rsidRPr="000048D1">
              <w:rPr>
                <w:i/>
                <w:iCs/>
              </w:rPr>
              <w:t>reactive energy</w:t>
            </w:r>
            <w:r w:rsidRPr="000048D1">
              <w:t xml:space="preserve">-based </w:t>
            </w:r>
            <w:r>
              <w:t xml:space="preserve">network </w:t>
            </w:r>
            <w:r w:rsidRPr="000048D1">
              <w:t>tariff</w:t>
            </w:r>
            <w:r w:rsidRPr="00B13FC8">
              <w:t xml:space="preserve"> or if required by </w:t>
            </w:r>
            <w:r>
              <w:t xml:space="preserve">the </w:t>
            </w:r>
            <w:r w:rsidRPr="00B13FC8">
              <w:t>FRMP in order to calculate the energy user’s bill</w:t>
            </w:r>
            <w:r w:rsidRPr="000048D1">
              <w:t>.</w:t>
            </w:r>
          </w:p>
        </w:tc>
        <w:tc>
          <w:tcPr>
            <w:tcW w:w="4536" w:type="dxa"/>
          </w:tcPr>
          <w:p w14:paraId="1A309D35" w14:textId="77777777" w:rsidR="00F52152" w:rsidRPr="006C1137" w:rsidRDefault="00F52152" w:rsidP="00F52152">
            <w:pPr>
              <w:spacing w:before="120" w:after="120"/>
              <w:rPr>
                <w:rFonts w:cs="Calibri"/>
                <w:color w:val="1E4164"/>
              </w:rPr>
            </w:pPr>
          </w:p>
        </w:tc>
      </w:tr>
      <w:tr w:rsidR="00F52152" w:rsidRPr="006C1137" w14:paraId="6070AD5B" w14:textId="77777777" w:rsidTr="00821FFF">
        <w:tc>
          <w:tcPr>
            <w:tcW w:w="1701" w:type="dxa"/>
            <w:shd w:val="clear" w:color="auto" w:fill="auto"/>
          </w:tcPr>
          <w:p w14:paraId="62BBC84F" w14:textId="6F38986E" w:rsidR="00F52152" w:rsidRPr="006C1137" w:rsidRDefault="00F52152" w:rsidP="00F52152">
            <w:pPr>
              <w:rPr>
                <w:rFonts w:cs="Calibri"/>
              </w:rPr>
            </w:pPr>
            <w:r w:rsidRPr="006C1137">
              <w:rPr>
                <w:rFonts w:eastAsia="Calibri" w:cs="Calibri"/>
              </w:rPr>
              <w:t xml:space="preserve">New clause </w:t>
            </w:r>
            <w:r w:rsidRPr="006C1137">
              <w:rPr>
                <w:rFonts w:eastAsia="Calibri" w:cs="Calibri"/>
              </w:rPr>
              <w:lastRenderedPageBreak/>
              <w:t>2.4.1(a)(ix)</w:t>
            </w:r>
          </w:p>
        </w:tc>
        <w:tc>
          <w:tcPr>
            <w:tcW w:w="6804" w:type="dxa"/>
            <w:shd w:val="clear" w:color="auto" w:fill="auto"/>
          </w:tcPr>
          <w:p w14:paraId="59B2F72D" w14:textId="77777777" w:rsidR="00F52152" w:rsidRPr="006C1137" w:rsidRDefault="00F52152" w:rsidP="00F52152">
            <w:pPr>
              <w:spacing w:line="240" w:lineRule="auto"/>
              <w:rPr>
                <w:rFonts w:eastAsia="Calibri" w:cs="Calibri"/>
              </w:rPr>
            </w:pPr>
            <w:r w:rsidRPr="006C1137">
              <w:rPr>
                <w:rFonts w:eastAsia="Calibri" w:cs="Calibri"/>
              </w:rPr>
              <w:lastRenderedPageBreak/>
              <w:t>Insert new clause:</w:t>
            </w:r>
          </w:p>
          <w:p w14:paraId="59006786" w14:textId="41C15369" w:rsidR="00F52152" w:rsidRPr="006C1137" w:rsidRDefault="00F52152" w:rsidP="00F52152">
            <w:pPr>
              <w:rPr>
                <w:rFonts w:cs="Calibri"/>
              </w:rPr>
            </w:pPr>
            <w:r w:rsidRPr="006C1137">
              <w:rPr>
                <w:rFonts w:eastAsia="Calibri" w:cs="Calibri"/>
                <w:color w:val="0070C0"/>
                <w:u w:val="single"/>
              </w:rPr>
              <w:lastRenderedPageBreak/>
              <w:t xml:space="preserve">Ensure that systems and processes are in place to detect </w:t>
            </w:r>
            <w:r w:rsidRPr="006C1137">
              <w:rPr>
                <w:rFonts w:eastAsia="Calibri" w:cs="Calibri"/>
                <w:i/>
                <w:color w:val="0070C0"/>
                <w:u w:val="single"/>
              </w:rPr>
              <w:t>energy data</w:t>
            </w:r>
            <w:r w:rsidRPr="006C1137">
              <w:rPr>
                <w:rFonts w:eastAsia="Calibri" w:cs="Calibri"/>
                <w:color w:val="0070C0"/>
                <w:u w:val="single"/>
              </w:rPr>
              <w:t xml:space="preserve">, at least every 20 business days, when the </w:t>
            </w:r>
            <w:proofErr w:type="spellStart"/>
            <w:r w:rsidRPr="006C1137">
              <w:rPr>
                <w:rFonts w:eastAsia="Calibri" w:cs="Calibri"/>
                <w:color w:val="0070C0"/>
                <w:u w:val="single"/>
              </w:rPr>
              <w:t>datastream</w:t>
            </w:r>
            <w:proofErr w:type="spellEnd"/>
            <w:r w:rsidRPr="006C1137">
              <w:rPr>
                <w:rFonts w:eastAsia="Calibri" w:cs="Calibri"/>
                <w:color w:val="0070C0"/>
                <w:u w:val="single"/>
              </w:rPr>
              <w:t xml:space="preserve"> is not active for a </w:t>
            </w:r>
            <w:r w:rsidRPr="006C1137">
              <w:rPr>
                <w:rFonts w:eastAsia="Calibri" w:cs="Calibri"/>
                <w:i/>
                <w:color w:val="0070C0"/>
                <w:u w:val="single"/>
              </w:rPr>
              <w:t>metering installation</w:t>
            </w:r>
            <w:r w:rsidRPr="006C1137">
              <w:rPr>
                <w:rFonts w:eastAsia="Calibri" w:cs="Calibri"/>
                <w:color w:val="0070C0"/>
                <w:u w:val="single"/>
              </w:rPr>
              <w:t xml:space="preserve"> with </w:t>
            </w:r>
            <w:r w:rsidRPr="006C1137">
              <w:rPr>
                <w:rFonts w:eastAsia="Calibri" w:cs="Calibri"/>
                <w:i/>
                <w:color w:val="0070C0"/>
                <w:u w:val="single"/>
              </w:rPr>
              <w:t>remote acquisition</w:t>
            </w:r>
            <w:r w:rsidRPr="006C1137">
              <w:rPr>
                <w:rFonts w:eastAsia="Calibri" w:cs="Calibri"/>
                <w:color w:val="0070C0"/>
                <w:u w:val="single"/>
              </w:rPr>
              <w:t>.</w:t>
            </w:r>
          </w:p>
        </w:tc>
        <w:tc>
          <w:tcPr>
            <w:tcW w:w="4536" w:type="dxa"/>
          </w:tcPr>
          <w:p w14:paraId="7F905DF0" w14:textId="77777777" w:rsidR="00F52152" w:rsidRPr="006C1137" w:rsidRDefault="00F52152" w:rsidP="00F52152">
            <w:pPr>
              <w:spacing w:before="120" w:after="120"/>
              <w:rPr>
                <w:rFonts w:cs="Calibri"/>
                <w:color w:val="1E4164"/>
              </w:rPr>
            </w:pPr>
          </w:p>
        </w:tc>
      </w:tr>
      <w:tr w:rsidR="00F52152" w:rsidRPr="006C1137" w14:paraId="48003CD1" w14:textId="77777777" w:rsidTr="00821FFF">
        <w:tc>
          <w:tcPr>
            <w:tcW w:w="1701" w:type="dxa"/>
            <w:shd w:val="clear" w:color="auto" w:fill="auto"/>
          </w:tcPr>
          <w:p w14:paraId="5DB76EEC" w14:textId="7CAC8B3B" w:rsidR="00F52152" w:rsidRPr="006C1137" w:rsidRDefault="00F52152" w:rsidP="00F52152">
            <w:pPr>
              <w:rPr>
                <w:rFonts w:cs="Calibri"/>
              </w:rPr>
            </w:pPr>
            <w:r w:rsidRPr="006C1137">
              <w:rPr>
                <w:rFonts w:eastAsia="Calibri" w:cs="Calibri"/>
              </w:rPr>
              <w:t>Renumbered clauses</w:t>
            </w:r>
          </w:p>
        </w:tc>
        <w:tc>
          <w:tcPr>
            <w:tcW w:w="6804" w:type="dxa"/>
            <w:shd w:val="clear" w:color="auto" w:fill="auto"/>
          </w:tcPr>
          <w:p w14:paraId="61273F08" w14:textId="29840F12" w:rsidR="00F52152" w:rsidRPr="006C1137" w:rsidRDefault="00F52152" w:rsidP="00F52152">
            <w:pPr>
              <w:rPr>
                <w:rFonts w:cs="Calibri"/>
              </w:rPr>
            </w:pPr>
            <w:r w:rsidRPr="006C1137">
              <w:rPr>
                <w:rFonts w:eastAsia="Calibri" w:cs="Calibri"/>
              </w:rPr>
              <w:t>Clauses renumbered following above change.</w:t>
            </w:r>
          </w:p>
        </w:tc>
        <w:tc>
          <w:tcPr>
            <w:tcW w:w="4536" w:type="dxa"/>
          </w:tcPr>
          <w:p w14:paraId="39A9F3F1" w14:textId="77777777" w:rsidR="00F52152" w:rsidRPr="006C1137" w:rsidRDefault="00F52152" w:rsidP="00F52152">
            <w:pPr>
              <w:spacing w:before="120" w:after="120"/>
              <w:rPr>
                <w:rFonts w:cs="Calibri"/>
                <w:color w:val="1E4164"/>
              </w:rPr>
            </w:pPr>
          </w:p>
        </w:tc>
      </w:tr>
      <w:tr w:rsidR="00F52152" w:rsidRPr="006C1137" w14:paraId="54EFCF97" w14:textId="77777777" w:rsidTr="00821FFF">
        <w:tc>
          <w:tcPr>
            <w:tcW w:w="1701" w:type="dxa"/>
            <w:shd w:val="clear" w:color="auto" w:fill="auto"/>
          </w:tcPr>
          <w:p w14:paraId="4C29F6B7" w14:textId="3A32D3AE" w:rsidR="00F52152" w:rsidRPr="006C1137" w:rsidRDefault="00F52152" w:rsidP="00F52152">
            <w:pPr>
              <w:rPr>
                <w:rFonts w:cs="Calibri"/>
              </w:rPr>
            </w:pPr>
            <w:r w:rsidRPr="006C1137">
              <w:rPr>
                <w:rFonts w:eastAsia="Calibri"/>
              </w:rPr>
              <w:t xml:space="preserve">3.5 Specific Collection Process Requirements for Metering installations with Remote Acquisition of Metering Data </w:t>
            </w:r>
          </w:p>
        </w:tc>
        <w:tc>
          <w:tcPr>
            <w:tcW w:w="6804" w:type="dxa"/>
            <w:shd w:val="clear" w:color="auto" w:fill="auto"/>
          </w:tcPr>
          <w:p w14:paraId="657F77D7" w14:textId="77777777" w:rsidR="00F52152" w:rsidRPr="006C1137" w:rsidRDefault="00F52152" w:rsidP="00F52152">
            <w:pPr>
              <w:spacing w:after="120" w:line="240" w:lineRule="auto"/>
              <w:rPr>
                <w:rFonts w:eastAsia="Calibri"/>
              </w:rPr>
            </w:pPr>
            <w:r w:rsidRPr="006C1137">
              <w:rPr>
                <w:rFonts w:eastAsia="Calibri"/>
              </w:rPr>
              <w:t>Insert new clause:</w:t>
            </w:r>
          </w:p>
          <w:p w14:paraId="00EAADB1" w14:textId="1B47B782" w:rsidR="00F52152" w:rsidRPr="006C1137" w:rsidRDefault="00F52152" w:rsidP="00F52152">
            <w:pPr>
              <w:rPr>
                <w:rFonts w:cs="Calibri"/>
              </w:rPr>
            </w:pPr>
            <w:r w:rsidRPr="006C1137">
              <w:rPr>
                <w:rFonts w:eastAsia="Calibri"/>
                <w:color w:val="0070C0"/>
                <w:u w:val="single"/>
              </w:rPr>
              <w:t xml:space="preserve">(c) </w:t>
            </w:r>
            <w:r w:rsidR="006C485D" w:rsidRPr="006C485D">
              <w:rPr>
                <w:color w:val="0070C0"/>
              </w:rPr>
              <w:t xml:space="preserve">Each </w:t>
            </w:r>
            <w:r w:rsidR="006C485D" w:rsidRPr="006C485D">
              <w:rPr>
                <w:i/>
                <w:color w:val="0070C0"/>
              </w:rPr>
              <w:t>MDP</w:t>
            </w:r>
            <w:r w:rsidR="006C485D" w:rsidRPr="006C485D">
              <w:rPr>
                <w:color w:val="0070C0"/>
              </w:rPr>
              <w:t xml:space="preserve"> must operate and maintain a process so that </w:t>
            </w:r>
            <w:r w:rsidR="006C485D" w:rsidRPr="006C485D">
              <w:rPr>
                <w:rFonts w:cs="Calibri"/>
                <w:color w:val="0070C0"/>
              </w:rPr>
              <w:t xml:space="preserve">on the next </w:t>
            </w:r>
            <w:r w:rsidR="006C485D" w:rsidRPr="006C485D">
              <w:rPr>
                <w:rFonts w:cs="Calibri"/>
                <w:i/>
                <w:iCs/>
                <w:color w:val="0070C0"/>
              </w:rPr>
              <w:t>business day</w:t>
            </w:r>
            <w:r w:rsidR="006C485D" w:rsidRPr="006C485D">
              <w:rPr>
                <w:rFonts w:cs="Calibri"/>
                <w:color w:val="0070C0"/>
              </w:rPr>
              <w:t xml:space="preserve"> after which a period of, at most, five consecutive </w:t>
            </w:r>
            <w:r w:rsidR="006C485D" w:rsidRPr="006C485D">
              <w:rPr>
                <w:rFonts w:cs="Calibri"/>
                <w:i/>
                <w:iCs/>
                <w:color w:val="0070C0"/>
              </w:rPr>
              <w:t>business days</w:t>
            </w:r>
            <w:r w:rsidR="006C485D" w:rsidRPr="006C485D">
              <w:rPr>
                <w:rFonts w:cs="Calibri"/>
                <w:color w:val="0070C0"/>
              </w:rPr>
              <w:t xml:space="preserve"> where remote acquisition is unavailable, the </w:t>
            </w:r>
            <w:r w:rsidR="006C485D" w:rsidRPr="006C485D">
              <w:rPr>
                <w:rFonts w:cs="Calibri"/>
                <w:i/>
                <w:iCs/>
                <w:color w:val="0070C0"/>
              </w:rPr>
              <w:t>MDP</w:t>
            </w:r>
            <w:r w:rsidR="006C485D" w:rsidRPr="006C485D">
              <w:rPr>
                <w:rFonts w:cs="Calibri"/>
                <w:color w:val="0070C0"/>
              </w:rPr>
              <w:t xml:space="preserve"> must notify the </w:t>
            </w:r>
            <w:r w:rsidR="006C485D" w:rsidRPr="006C485D">
              <w:rPr>
                <w:rFonts w:cs="Calibri"/>
                <w:i/>
                <w:iCs/>
                <w:color w:val="0070C0"/>
              </w:rPr>
              <w:t>MC</w:t>
            </w:r>
            <w:r w:rsidR="006C485D" w:rsidRPr="006C485D">
              <w:rPr>
                <w:rFonts w:cs="Calibri"/>
                <w:color w:val="0070C0"/>
              </w:rPr>
              <w:t xml:space="preserve"> that </w:t>
            </w:r>
            <w:r w:rsidR="006C485D" w:rsidRPr="006C485D">
              <w:rPr>
                <w:rFonts w:cs="Calibri"/>
                <w:i/>
                <w:iCs/>
                <w:color w:val="0070C0"/>
              </w:rPr>
              <w:t>remote acquisition</w:t>
            </w:r>
            <w:r w:rsidR="006C485D" w:rsidRPr="006C485D">
              <w:rPr>
                <w:rFonts w:cs="Calibri"/>
                <w:color w:val="0070C0"/>
              </w:rPr>
              <w:t xml:space="preserve"> is unavailable.</w:t>
            </w:r>
          </w:p>
        </w:tc>
        <w:tc>
          <w:tcPr>
            <w:tcW w:w="4536" w:type="dxa"/>
          </w:tcPr>
          <w:p w14:paraId="4615FF4C" w14:textId="77777777" w:rsidR="00F52152" w:rsidRPr="006C1137" w:rsidRDefault="00F52152" w:rsidP="00F52152">
            <w:pPr>
              <w:spacing w:before="120" w:after="120"/>
              <w:rPr>
                <w:rFonts w:cs="Calibri"/>
                <w:color w:val="1E4164"/>
              </w:rPr>
            </w:pPr>
          </w:p>
        </w:tc>
      </w:tr>
    </w:tbl>
    <w:p w14:paraId="628879EA" w14:textId="77777777" w:rsidR="00853045" w:rsidRPr="006C1137" w:rsidRDefault="00853045" w:rsidP="00853045">
      <w:pPr>
        <w:rPr>
          <w:rFonts w:cs="Calibri"/>
        </w:rPr>
      </w:pPr>
    </w:p>
    <w:p w14:paraId="6A52A49E" w14:textId="3C53F96E" w:rsidR="00736A8B" w:rsidRPr="00310786" w:rsidRDefault="00310786" w:rsidP="00310786">
      <w:pPr>
        <w:pStyle w:val="Heading1"/>
      </w:pPr>
      <w:bookmarkStart w:id="3" w:name="_Toc72135981"/>
      <w:r w:rsidRPr="00310786">
        <w:t>Metrology Procedure: Part A - National Electricity Market (Metrology Procedure: Part A)</w:t>
      </w:r>
      <w:bookmarkEnd w:id="3"/>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804"/>
        <w:gridCol w:w="4536"/>
      </w:tblGrid>
      <w:tr w:rsidR="00736A8B" w:rsidRPr="006C1137" w14:paraId="21BB722A" w14:textId="77777777" w:rsidTr="00F520FD">
        <w:trPr>
          <w:tblHeader/>
        </w:trPr>
        <w:tc>
          <w:tcPr>
            <w:tcW w:w="1701" w:type="dxa"/>
            <w:shd w:val="clear" w:color="auto" w:fill="D9D9D9"/>
          </w:tcPr>
          <w:p w14:paraId="4329E1F8" w14:textId="77777777" w:rsidR="00736A8B" w:rsidRPr="006C1137" w:rsidRDefault="004D0982" w:rsidP="00D76776">
            <w:pPr>
              <w:keepNext/>
              <w:spacing w:before="120" w:after="120"/>
              <w:outlineLvl w:val="1"/>
              <w:rPr>
                <w:rFonts w:cs="Calibri"/>
                <w:b/>
                <w:bCs/>
                <w:iCs/>
                <w:sz w:val="28"/>
                <w:szCs w:val="28"/>
              </w:rPr>
            </w:pPr>
            <w:r w:rsidRPr="006C1137">
              <w:rPr>
                <w:rFonts w:cs="Calibri"/>
                <w:b/>
                <w:bCs/>
                <w:iCs/>
                <w:sz w:val="28"/>
                <w:szCs w:val="28"/>
              </w:rPr>
              <w:t>Section</w:t>
            </w:r>
          </w:p>
        </w:tc>
        <w:tc>
          <w:tcPr>
            <w:tcW w:w="6804" w:type="dxa"/>
            <w:shd w:val="clear" w:color="auto" w:fill="D9D9D9"/>
          </w:tcPr>
          <w:p w14:paraId="38CED251" w14:textId="77777777" w:rsidR="00736A8B" w:rsidRPr="006C1137" w:rsidRDefault="004D0982" w:rsidP="00D76776">
            <w:pPr>
              <w:keepNext/>
              <w:spacing w:before="120" w:after="120"/>
              <w:outlineLvl w:val="1"/>
              <w:rPr>
                <w:rFonts w:cs="Calibri"/>
                <w:b/>
                <w:bCs/>
                <w:iCs/>
                <w:sz w:val="28"/>
                <w:szCs w:val="28"/>
              </w:rPr>
            </w:pPr>
            <w:r w:rsidRPr="006C1137">
              <w:rPr>
                <w:rFonts w:cs="Calibri"/>
                <w:b/>
                <w:bCs/>
                <w:iCs/>
                <w:sz w:val="28"/>
                <w:szCs w:val="28"/>
              </w:rPr>
              <w:t>Description</w:t>
            </w:r>
          </w:p>
        </w:tc>
        <w:tc>
          <w:tcPr>
            <w:tcW w:w="4536" w:type="dxa"/>
            <w:shd w:val="clear" w:color="auto" w:fill="D9D9D9"/>
          </w:tcPr>
          <w:p w14:paraId="7167447D" w14:textId="77777777" w:rsidR="00736A8B" w:rsidRPr="006C1137" w:rsidRDefault="00736A8B" w:rsidP="00D76776">
            <w:pPr>
              <w:keepNext/>
              <w:spacing w:before="120" w:after="120"/>
              <w:outlineLvl w:val="1"/>
              <w:rPr>
                <w:rFonts w:cs="Calibri"/>
                <w:color w:val="1E4164"/>
              </w:rPr>
            </w:pPr>
            <w:r w:rsidRPr="006C1137">
              <w:rPr>
                <w:rFonts w:cs="Calibri"/>
                <w:b/>
                <w:bCs/>
                <w:iCs/>
                <w:sz w:val="28"/>
                <w:szCs w:val="28"/>
              </w:rPr>
              <w:t>Participant Comments</w:t>
            </w:r>
          </w:p>
        </w:tc>
      </w:tr>
      <w:tr w:rsidR="00F52152" w:rsidRPr="006C1137" w14:paraId="730B839F" w14:textId="77777777" w:rsidTr="00F520FD">
        <w:tc>
          <w:tcPr>
            <w:tcW w:w="1701" w:type="dxa"/>
            <w:shd w:val="clear" w:color="auto" w:fill="auto"/>
          </w:tcPr>
          <w:p w14:paraId="2F176763" w14:textId="507064D3" w:rsidR="00F52152" w:rsidRPr="006C1137" w:rsidRDefault="00F52152" w:rsidP="00F52152">
            <w:pPr>
              <w:rPr>
                <w:rFonts w:cs="Calibri"/>
              </w:rPr>
            </w:pPr>
            <w:r w:rsidRPr="006C1137">
              <w:rPr>
                <w:rFonts w:eastAsia="Calibri"/>
              </w:rPr>
              <w:t xml:space="preserve">12.2 Metering Data Collection </w:t>
            </w:r>
          </w:p>
        </w:tc>
        <w:tc>
          <w:tcPr>
            <w:tcW w:w="6804" w:type="dxa"/>
            <w:shd w:val="clear" w:color="auto" w:fill="auto"/>
          </w:tcPr>
          <w:p w14:paraId="54C4B171" w14:textId="77777777" w:rsidR="00F52152" w:rsidRPr="006C1137" w:rsidRDefault="00F52152" w:rsidP="00F52152">
            <w:pPr>
              <w:spacing w:after="120" w:line="240" w:lineRule="auto"/>
            </w:pPr>
            <w:r w:rsidRPr="006C1137">
              <w:t>Insert new clauses:</w:t>
            </w:r>
          </w:p>
          <w:p w14:paraId="2DAD2533" w14:textId="77777777" w:rsidR="00744885" w:rsidRPr="00E322ED" w:rsidRDefault="00744885" w:rsidP="007B1A2A">
            <w:pPr>
              <w:pStyle w:val="BodyText"/>
              <w:numPr>
                <w:ilvl w:val="0"/>
                <w:numId w:val="41"/>
              </w:numPr>
              <w:spacing w:before="0" w:after="120"/>
              <w:ind w:left="321"/>
              <w:rPr>
                <w:rFonts w:asciiTheme="minorHAnsi" w:hAnsiTheme="minorHAnsi" w:cstheme="minorHAnsi"/>
                <w:b w:val="0"/>
                <w:bCs/>
                <w:i w:val="0"/>
                <w:iCs/>
                <w:color w:val="0070C0"/>
                <w:sz w:val="22"/>
                <w:szCs w:val="24"/>
              </w:rPr>
            </w:pPr>
            <w:r w:rsidRPr="00E322ED">
              <w:rPr>
                <w:rFonts w:asciiTheme="minorHAnsi" w:hAnsiTheme="minorHAnsi" w:cstheme="minorHAnsi"/>
                <w:b w:val="0"/>
                <w:bCs/>
                <w:i w:val="0"/>
                <w:iCs/>
                <w:color w:val="0070C0"/>
                <w:sz w:val="22"/>
                <w:szCs w:val="24"/>
              </w:rPr>
              <w:t>When the MC is informed of a metering data collection issue, the MC must:</w:t>
            </w:r>
          </w:p>
          <w:p w14:paraId="6678D943" w14:textId="77777777" w:rsidR="00744885" w:rsidRPr="00E322ED" w:rsidRDefault="00744885" w:rsidP="00F831E1">
            <w:pPr>
              <w:pStyle w:val="Lista"/>
              <w:numPr>
                <w:ilvl w:val="0"/>
                <w:numId w:val="40"/>
              </w:numPr>
              <w:ind w:left="604" w:hanging="141"/>
              <w:rPr>
                <w:rFonts w:asciiTheme="minorHAnsi" w:hAnsiTheme="minorHAnsi" w:cstheme="minorHAnsi"/>
                <w:bCs/>
                <w:iCs/>
                <w:color w:val="0070C0"/>
                <w:sz w:val="24"/>
                <w:szCs w:val="28"/>
              </w:rPr>
            </w:pPr>
            <w:r w:rsidRPr="00E322ED">
              <w:rPr>
                <w:rFonts w:asciiTheme="minorHAnsi" w:hAnsiTheme="minorHAnsi" w:cstheme="minorHAnsi"/>
                <w:bCs/>
                <w:iCs/>
                <w:color w:val="0070C0"/>
                <w:sz w:val="24"/>
                <w:szCs w:val="28"/>
              </w:rPr>
              <w:t xml:space="preserve">within 15 business days, take the necessary steps to have the </w:t>
            </w:r>
            <w:r w:rsidRPr="00E322ED">
              <w:rPr>
                <w:rFonts w:asciiTheme="minorHAnsi" w:hAnsiTheme="minorHAnsi" w:cstheme="minorHAnsi"/>
                <w:bCs/>
                <w:iCs/>
                <w:color w:val="0070C0"/>
                <w:sz w:val="24"/>
                <w:szCs w:val="28"/>
              </w:rPr>
              <w:lastRenderedPageBreak/>
              <w:t xml:space="preserve">missing metering data </w:t>
            </w:r>
            <w:proofErr w:type="gramStart"/>
            <w:r w:rsidRPr="00E322ED">
              <w:rPr>
                <w:rFonts w:asciiTheme="minorHAnsi" w:hAnsiTheme="minorHAnsi" w:cstheme="minorHAnsi"/>
                <w:bCs/>
                <w:iCs/>
                <w:color w:val="0070C0"/>
                <w:sz w:val="24"/>
                <w:szCs w:val="28"/>
              </w:rPr>
              <w:t>collected;</w:t>
            </w:r>
            <w:proofErr w:type="gramEnd"/>
          </w:p>
          <w:p w14:paraId="4533C0F9" w14:textId="77777777" w:rsidR="00744885" w:rsidRPr="00E322ED" w:rsidRDefault="00744885" w:rsidP="00F831E1">
            <w:pPr>
              <w:pStyle w:val="Lista"/>
              <w:numPr>
                <w:ilvl w:val="0"/>
                <w:numId w:val="40"/>
              </w:numPr>
              <w:ind w:left="604" w:hanging="141"/>
              <w:rPr>
                <w:rFonts w:asciiTheme="minorHAnsi" w:hAnsiTheme="minorHAnsi" w:cstheme="minorHAnsi"/>
                <w:bCs/>
                <w:iCs/>
                <w:color w:val="0070C0"/>
                <w:sz w:val="24"/>
                <w:szCs w:val="28"/>
              </w:rPr>
            </w:pPr>
            <w:r w:rsidRPr="00E322ED">
              <w:rPr>
                <w:rFonts w:asciiTheme="minorHAnsi" w:hAnsiTheme="minorHAnsi" w:cstheme="minorHAnsi"/>
                <w:bCs/>
                <w:iCs/>
                <w:color w:val="0070C0"/>
                <w:sz w:val="24"/>
                <w:szCs w:val="28"/>
              </w:rPr>
              <w:t xml:space="preserve">ensure that the metering installations’ communications interface is maintained to facilitate ongoing collection of metering </w:t>
            </w:r>
            <w:proofErr w:type="gramStart"/>
            <w:r w:rsidRPr="00E322ED">
              <w:rPr>
                <w:rFonts w:asciiTheme="minorHAnsi" w:hAnsiTheme="minorHAnsi" w:cstheme="minorHAnsi"/>
                <w:bCs/>
                <w:iCs/>
                <w:color w:val="0070C0"/>
                <w:sz w:val="24"/>
                <w:szCs w:val="28"/>
              </w:rPr>
              <w:t>data;</w:t>
            </w:r>
            <w:proofErr w:type="gramEnd"/>
          </w:p>
          <w:p w14:paraId="6D7EDDEE" w14:textId="77777777" w:rsidR="00744885" w:rsidRPr="00E322ED" w:rsidRDefault="00744885" w:rsidP="00F831E1">
            <w:pPr>
              <w:pStyle w:val="Lista"/>
              <w:numPr>
                <w:ilvl w:val="0"/>
                <w:numId w:val="40"/>
              </w:numPr>
              <w:ind w:left="604" w:hanging="141"/>
              <w:rPr>
                <w:rFonts w:asciiTheme="minorHAnsi" w:hAnsiTheme="minorHAnsi" w:cstheme="minorHAnsi"/>
                <w:bCs/>
                <w:iCs/>
                <w:color w:val="0070C0"/>
                <w:sz w:val="24"/>
                <w:szCs w:val="28"/>
              </w:rPr>
            </w:pPr>
            <w:r w:rsidRPr="00E322ED">
              <w:rPr>
                <w:rFonts w:asciiTheme="minorHAnsi" w:hAnsiTheme="minorHAnsi" w:cstheme="minorHAnsi"/>
                <w:bCs/>
                <w:iCs/>
                <w:color w:val="0070C0"/>
                <w:sz w:val="24"/>
                <w:szCs w:val="28"/>
              </w:rPr>
              <w:t>ensure that metering data is collected at a frequency that is within the energy data storage capacity of that metering installation  such that the metering data collection process prevents the loss of actual metering data; and</w:t>
            </w:r>
          </w:p>
          <w:p w14:paraId="2FE6084C" w14:textId="37A937FE" w:rsidR="00F52152" w:rsidRPr="00F831E1" w:rsidRDefault="00744885" w:rsidP="00F52152">
            <w:pPr>
              <w:pStyle w:val="Lista"/>
              <w:numPr>
                <w:ilvl w:val="0"/>
                <w:numId w:val="40"/>
              </w:numPr>
              <w:ind w:left="604" w:hanging="141"/>
              <w:rPr>
                <w:bCs/>
                <w:iCs/>
                <w:color w:val="0070C0"/>
              </w:rPr>
            </w:pPr>
            <w:r w:rsidRPr="00E322ED">
              <w:rPr>
                <w:rFonts w:asciiTheme="minorHAnsi" w:hAnsiTheme="minorHAnsi" w:cstheme="minorHAnsi"/>
                <w:bCs/>
                <w:iCs/>
                <w:color w:val="0070C0"/>
                <w:sz w:val="24"/>
                <w:szCs w:val="28"/>
              </w:rPr>
              <w:t>ensure that, irrespective of the energy storage capacity of the metering installation, the metering installation reading frequency must not exceed three months since the last actual read was undertaken.</w:t>
            </w:r>
          </w:p>
        </w:tc>
        <w:tc>
          <w:tcPr>
            <w:tcW w:w="4536" w:type="dxa"/>
          </w:tcPr>
          <w:p w14:paraId="26D92274" w14:textId="77777777" w:rsidR="00F52152" w:rsidRPr="006C1137" w:rsidRDefault="00F52152" w:rsidP="00F52152">
            <w:pPr>
              <w:spacing w:before="120" w:after="120"/>
              <w:rPr>
                <w:rFonts w:cs="Calibri"/>
                <w:color w:val="1E4164"/>
              </w:rPr>
            </w:pPr>
          </w:p>
        </w:tc>
      </w:tr>
    </w:tbl>
    <w:p w14:paraId="6631B71D" w14:textId="77777777" w:rsidR="00736A8B" w:rsidRPr="006C1137" w:rsidRDefault="00736A8B" w:rsidP="00736A8B">
      <w:pPr>
        <w:rPr>
          <w:rFonts w:cs="Calibri"/>
        </w:rPr>
      </w:pPr>
    </w:p>
    <w:p w14:paraId="3AFDCB8E" w14:textId="3FD8D0B8" w:rsidR="00CB6612" w:rsidRPr="00F52152" w:rsidRDefault="00C52447" w:rsidP="00CB6612">
      <w:pPr>
        <w:pStyle w:val="Heading1"/>
      </w:pPr>
      <w:bookmarkStart w:id="4" w:name="_Toc72135982"/>
      <w:r w:rsidRPr="00C52447">
        <w:lastRenderedPageBreak/>
        <w:t>Guideline for Clarification of the National Measurement Act</w:t>
      </w:r>
    </w:p>
    <w:tbl>
      <w:tblPr>
        <w:tblW w:w="127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5103"/>
        <w:gridCol w:w="6379"/>
      </w:tblGrid>
      <w:tr w:rsidR="00CB6612" w:rsidRPr="006C1137" w14:paraId="5CA42E3A" w14:textId="77777777" w:rsidTr="00DB79CC">
        <w:tc>
          <w:tcPr>
            <w:tcW w:w="1275" w:type="dxa"/>
            <w:shd w:val="clear" w:color="auto" w:fill="D9D9D9"/>
          </w:tcPr>
          <w:p w14:paraId="3576DDA7" w14:textId="77777777" w:rsidR="00CB6612" w:rsidRPr="006C1137" w:rsidRDefault="00CB6612" w:rsidP="00DB79CC">
            <w:pPr>
              <w:keepNext/>
              <w:spacing w:before="120" w:after="120"/>
              <w:outlineLvl w:val="1"/>
              <w:rPr>
                <w:rFonts w:cs="Calibri"/>
                <w:b/>
                <w:bCs/>
                <w:iCs/>
                <w:sz w:val="28"/>
                <w:szCs w:val="28"/>
              </w:rPr>
            </w:pPr>
            <w:r w:rsidRPr="006C1137">
              <w:rPr>
                <w:rFonts w:cs="Calibri"/>
                <w:b/>
                <w:bCs/>
                <w:iCs/>
                <w:sz w:val="28"/>
                <w:szCs w:val="28"/>
              </w:rPr>
              <w:t>Section</w:t>
            </w:r>
          </w:p>
        </w:tc>
        <w:tc>
          <w:tcPr>
            <w:tcW w:w="5103" w:type="dxa"/>
            <w:shd w:val="clear" w:color="auto" w:fill="D9D9D9"/>
          </w:tcPr>
          <w:p w14:paraId="2C222C0E" w14:textId="77777777" w:rsidR="00CB6612" w:rsidRPr="006C1137" w:rsidRDefault="00CB6612" w:rsidP="00DB79CC">
            <w:pPr>
              <w:keepNext/>
              <w:spacing w:before="120" w:after="120"/>
              <w:outlineLvl w:val="1"/>
              <w:rPr>
                <w:rFonts w:cs="Calibri"/>
                <w:b/>
                <w:bCs/>
                <w:iCs/>
                <w:sz w:val="28"/>
                <w:szCs w:val="28"/>
              </w:rPr>
            </w:pPr>
            <w:r w:rsidRPr="006C1137">
              <w:rPr>
                <w:rFonts w:cs="Calibri"/>
                <w:b/>
                <w:bCs/>
                <w:iCs/>
                <w:sz w:val="28"/>
                <w:szCs w:val="28"/>
              </w:rPr>
              <w:t>Description</w:t>
            </w:r>
          </w:p>
        </w:tc>
        <w:tc>
          <w:tcPr>
            <w:tcW w:w="6379" w:type="dxa"/>
            <w:shd w:val="clear" w:color="auto" w:fill="D9D9D9"/>
          </w:tcPr>
          <w:p w14:paraId="3600ED81" w14:textId="77777777" w:rsidR="00CB6612" w:rsidRPr="006C1137" w:rsidRDefault="00CB6612" w:rsidP="00DB79CC">
            <w:pPr>
              <w:keepNext/>
              <w:spacing w:before="120" w:after="120"/>
              <w:outlineLvl w:val="1"/>
              <w:rPr>
                <w:rFonts w:cs="Calibri"/>
                <w:b/>
                <w:bCs/>
                <w:iCs/>
                <w:sz w:val="28"/>
                <w:szCs w:val="28"/>
              </w:rPr>
            </w:pPr>
            <w:r w:rsidRPr="006C1137">
              <w:rPr>
                <w:rFonts w:cs="Calibri"/>
                <w:b/>
                <w:bCs/>
                <w:iCs/>
                <w:sz w:val="28"/>
                <w:szCs w:val="28"/>
              </w:rPr>
              <w:t>Participant Comments</w:t>
            </w:r>
          </w:p>
        </w:tc>
      </w:tr>
      <w:tr w:rsidR="00CB6612" w:rsidRPr="006C1137" w14:paraId="6B15144E" w14:textId="77777777" w:rsidTr="00DB79CC">
        <w:tc>
          <w:tcPr>
            <w:tcW w:w="1275" w:type="dxa"/>
            <w:tcBorders>
              <w:top w:val="single" w:sz="4" w:space="0" w:color="auto"/>
              <w:left w:val="single" w:sz="4" w:space="0" w:color="auto"/>
              <w:bottom w:val="single" w:sz="4" w:space="0" w:color="auto"/>
              <w:right w:val="single" w:sz="4" w:space="0" w:color="auto"/>
            </w:tcBorders>
            <w:shd w:val="clear" w:color="auto" w:fill="auto"/>
          </w:tcPr>
          <w:p w14:paraId="218E4209" w14:textId="77777777" w:rsidR="00CB6612" w:rsidRPr="006C1137" w:rsidRDefault="00CB6612" w:rsidP="00DB79CC">
            <w:pPr>
              <w:rPr>
                <w:rFonts w:cs="Calibri"/>
              </w:rPr>
            </w:pPr>
            <w:r w:rsidRPr="006C1137">
              <w:rPr>
                <w:rFonts w:eastAsia="Calibri"/>
              </w:rPr>
              <w:t>1.1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9881A60" w14:textId="77777777" w:rsidR="00CB6612" w:rsidRPr="006C1137" w:rsidRDefault="00CB6612" w:rsidP="00DB79CC">
            <w:pPr>
              <w:spacing w:after="120" w:line="240" w:lineRule="auto"/>
              <w:rPr>
                <w:rFonts w:eastAsia="Calibri"/>
              </w:rPr>
            </w:pPr>
            <w:r w:rsidRPr="006C1137">
              <w:rPr>
                <w:rFonts w:eastAsia="Calibri"/>
              </w:rPr>
              <w:t xml:space="preserve">This is the Guideline for Clarification of the National Measurement Act made under clause </w:t>
            </w:r>
            <w:r w:rsidRPr="006C1137">
              <w:rPr>
                <w:rFonts w:eastAsia="Calibri"/>
                <w:strike/>
                <w:color w:val="4472C4"/>
              </w:rPr>
              <w:t>7.15</w:t>
            </w:r>
            <w:r w:rsidRPr="006C1137">
              <w:rPr>
                <w:rFonts w:eastAsia="Calibri"/>
                <w:color w:val="4472C4"/>
              </w:rPr>
              <w:t xml:space="preserve"> </w:t>
            </w:r>
            <w:r w:rsidRPr="006C1137" w:rsidDel="006345C9">
              <w:rPr>
                <w:rFonts w:eastAsia="Calibri"/>
                <w:color w:val="00B0F0"/>
                <w:u w:val="single"/>
              </w:rPr>
              <w:t>7.</w:t>
            </w:r>
            <w:r w:rsidRPr="006C1137">
              <w:rPr>
                <w:rFonts w:eastAsia="Calibri"/>
                <w:color w:val="00B0F0"/>
                <w:u w:val="single"/>
              </w:rPr>
              <w:t>16.8</w:t>
            </w:r>
            <w:r w:rsidRPr="006C1137">
              <w:rPr>
                <w:rFonts w:eastAsia="Calibri"/>
                <w:color w:val="00B0F0"/>
              </w:rPr>
              <w:t xml:space="preserve"> </w:t>
            </w:r>
            <w:r w:rsidRPr="006C1137">
              <w:rPr>
                <w:rFonts w:eastAsia="Calibri"/>
              </w:rPr>
              <w:t>of the NER (</w:t>
            </w:r>
            <w:r w:rsidRPr="006C1137">
              <w:rPr>
                <w:rFonts w:eastAsia="Calibri"/>
                <w:b/>
              </w:rPr>
              <w:t>Guideline</w:t>
            </w:r>
            <w:r w:rsidRPr="006C1137">
              <w:rPr>
                <w:rFonts w:eastAsia="Calibri"/>
              </w:rPr>
              <w:t xml:space="preserve">). </w:t>
            </w:r>
          </w:p>
          <w:p w14:paraId="2568BD2D" w14:textId="77777777" w:rsidR="00CB6612" w:rsidRPr="006C1137" w:rsidRDefault="00CB6612" w:rsidP="00DB79CC">
            <w:pPr>
              <w:spacing w:after="120" w:line="240" w:lineRule="auto"/>
              <w:rPr>
                <w:rFonts w:eastAsia="Calibri"/>
              </w:rPr>
            </w:pPr>
            <w:r w:rsidRPr="006C1137">
              <w:rPr>
                <w:rFonts w:eastAsia="Calibri"/>
              </w:rPr>
              <w:t>…</w:t>
            </w:r>
          </w:p>
          <w:p w14:paraId="3E2E3B31" w14:textId="77777777" w:rsidR="00CB6612" w:rsidRPr="006C1137" w:rsidRDefault="00CB6612" w:rsidP="00DB79CC">
            <w:pPr>
              <w:rPr>
                <w:rFonts w:cs="Calibri"/>
              </w:rPr>
            </w:pPr>
            <w:r w:rsidRPr="006C1137">
              <w:rPr>
                <w:rFonts w:eastAsia="Calibri"/>
              </w:rPr>
              <w:t xml:space="preserve">This version of the Guideline </w:t>
            </w:r>
            <w:proofErr w:type="gramStart"/>
            <w:r w:rsidRPr="006C1137">
              <w:rPr>
                <w:rFonts w:eastAsia="Calibri"/>
              </w:rPr>
              <w:t>makes reference</w:t>
            </w:r>
            <w:proofErr w:type="gramEnd"/>
            <w:r w:rsidRPr="006C1137">
              <w:rPr>
                <w:rFonts w:eastAsia="Calibri"/>
              </w:rPr>
              <w:t xml:space="preserve"> to those parts of the National Measurement Act that are currently in force.  </w:t>
            </w:r>
            <w:r w:rsidRPr="006C1137">
              <w:rPr>
                <w:rFonts w:eastAsia="Calibri"/>
                <w:strike/>
                <w:color w:val="FF0000"/>
              </w:rPr>
              <w:t xml:space="preserve">For information, the Guideline also </w:t>
            </w:r>
            <w:proofErr w:type="gramStart"/>
            <w:r w:rsidRPr="006C1137">
              <w:rPr>
                <w:rFonts w:eastAsia="Calibri"/>
                <w:strike/>
                <w:color w:val="FF0000"/>
              </w:rPr>
              <w:t>makes reference</w:t>
            </w:r>
            <w:proofErr w:type="gramEnd"/>
            <w:r w:rsidRPr="006C1137">
              <w:rPr>
                <w:rFonts w:eastAsia="Calibri"/>
                <w:strike/>
                <w:color w:val="FF0000"/>
              </w:rPr>
              <w:t xml:space="preserve"> to aspects of Part IV of the Act, which is expected to come into force in the near future when changes to the National Trade Measurement Regulations are made.</w:t>
            </w:r>
            <w:r w:rsidRPr="006C1137">
              <w:rPr>
                <w:rFonts w:eastAsia="Calibri"/>
                <w:color w:val="FF0000"/>
              </w:rPr>
              <w:t xml:space="preserve"> </w:t>
            </w:r>
            <w:r w:rsidRPr="006C1137">
              <w:rPr>
                <w:rFonts w:eastAsia="Calibri"/>
              </w:rPr>
              <w:t xml:space="preserve"> Those aspects of the Act that are not currently in force appear in italics in this version of the Guideline.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EA1AA75" w14:textId="77777777" w:rsidR="00CB6612" w:rsidRPr="006C1137" w:rsidRDefault="00CB6612" w:rsidP="00DB79CC">
            <w:pPr>
              <w:spacing w:before="120" w:after="120"/>
              <w:rPr>
                <w:rFonts w:cs="Calibri"/>
                <w:color w:val="1E4164"/>
              </w:rPr>
            </w:pPr>
          </w:p>
        </w:tc>
      </w:tr>
      <w:tr w:rsidR="00CB6612" w:rsidRPr="006C1137" w14:paraId="2DC8C315" w14:textId="77777777" w:rsidTr="00DB79CC">
        <w:tc>
          <w:tcPr>
            <w:tcW w:w="1275" w:type="dxa"/>
            <w:shd w:val="clear" w:color="auto" w:fill="auto"/>
          </w:tcPr>
          <w:p w14:paraId="7AC25993" w14:textId="01B2B7CF" w:rsidR="00CB6612" w:rsidRPr="006C1137" w:rsidRDefault="00CB6612" w:rsidP="00F622FE">
            <w:pPr>
              <w:spacing w:after="120" w:line="240" w:lineRule="auto"/>
              <w:rPr>
                <w:rFonts w:cs="Calibri"/>
              </w:rPr>
            </w:pPr>
            <w:r w:rsidRPr="006C1137">
              <w:rPr>
                <w:rFonts w:eastAsia="Calibri"/>
              </w:rPr>
              <w:t>3.1</w:t>
            </w:r>
            <w:r w:rsidR="00F622FE">
              <w:rPr>
                <w:rFonts w:eastAsia="Calibri"/>
              </w:rPr>
              <w:t xml:space="preserve">; </w:t>
            </w:r>
            <w:r w:rsidRPr="006C1137">
              <w:rPr>
                <w:rFonts w:eastAsia="Calibri"/>
              </w:rPr>
              <w:t>3.2.1</w:t>
            </w:r>
            <w:r w:rsidR="00F622FE">
              <w:rPr>
                <w:rFonts w:eastAsia="Calibri"/>
              </w:rPr>
              <w:t xml:space="preserve">; </w:t>
            </w:r>
            <w:r w:rsidRPr="006C1137">
              <w:rPr>
                <w:rFonts w:eastAsia="Calibri"/>
              </w:rPr>
              <w:t>3.2.2</w:t>
            </w:r>
            <w:r w:rsidR="00F622FE">
              <w:rPr>
                <w:rFonts w:eastAsia="Calibri"/>
              </w:rPr>
              <w:t xml:space="preserve">; </w:t>
            </w:r>
            <w:r w:rsidRPr="006C1137">
              <w:rPr>
                <w:rFonts w:eastAsia="Calibri"/>
              </w:rPr>
              <w:t>3.3</w:t>
            </w:r>
          </w:p>
        </w:tc>
        <w:tc>
          <w:tcPr>
            <w:tcW w:w="5103" w:type="dxa"/>
            <w:shd w:val="clear" w:color="auto" w:fill="auto"/>
          </w:tcPr>
          <w:p w14:paraId="0CF34C80" w14:textId="77777777" w:rsidR="00CB6612" w:rsidRPr="006C1137" w:rsidRDefault="00CB6612" w:rsidP="00DB79CC">
            <w:pPr>
              <w:rPr>
                <w:rFonts w:cs="Calibri"/>
              </w:rPr>
            </w:pPr>
            <w:r w:rsidRPr="006C1137">
              <w:rPr>
                <w:rFonts w:eastAsia="Calibri"/>
              </w:rPr>
              <w:t>Minor changes</w:t>
            </w:r>
          </w:p>
        </w:tc>
        <w:tc>
          <w:tcPr>
            <w:tcW w:w="6379" w:type="dxa"/>
          </w:tcPr>
          <w:p w14:paraId="6CCA73C8" w14:textId="77777777" w:rsidR="00CB6612" w:rsidRPr="006C1137" w:rsidRDefault="00CB6612" w:rsidP="00DB79CC">
            <w:pPr>
              <w:spacing w:before="120" w:after="120"/>
              <w:rPr>
                <w:rFonts w:cs="Calibri"/>
                <w:color w:val="1E4164"/>
              </w:rPr>
            </w:pPr>
          </w:p>
        </w:tc>
      </w:tr>
      <w:tr w:rsidR="00CB6612" w:rsidRPr="006C1137" w14:paraId="738742A7" w14:textId="77777777" w:rsidTr="00DB79CC">
        <w:tc>
          <w:tcPr>
            <w:tcW w:w="1275" w:type="dxa"/>
            <w:shd w:val="clear" w:color="auto" w:fill="auto"/>
          </w:tcPr>
          <w:p w14:paraId="09F0C730" w14:textId="77777777" w:rsidR="00CB6612" w:rsidRPr="006C1137" w:rsidRDefault="00CB6612" w:rsidP="00DB79CC">
            <w:pPr>
              <w:rPr>
                <w:rFonts w:eastAsia="Calibri"/>
              </w:rPr>
            </w:pPr>
            <w:r w:rsidRPr="006C1137">
              <w:rPr>
                <w:rFonts w:eastAsia="Calibri"/>
              </w:rPr>
              <w:t>3.3</w:t>
            </w:r>
          </w:p>
        </w:tc>
        <w:tc>
          <w:tcPr>
            <w:tcW w:w="5103" w:type="dxa"/>
            <w:shd w:val="clear" w:color="auto" w:fill="auto"/>
          </w:tcPr>
          <w:p w14:paraId="751625A5" w14:textId="77777777" w:rsidR="00CB6612" w:rsidRPr="006C1137" w:rsidRDefault="00CB6612" w:rsidP="00DB79CC">
            <w:pPr>
              <w:rPr>
                <w:rFonts w:eastAsia="Calibri"/>
              </w:rPr>
            </w:pPr>
            <w:r w:rsidRPr="006C1137">
              <w:rPr>
                <w:rFonts w:eastAsia="Calibri"/>
              </w:rPr>
              <w:t xml:space="preserve">Regulation 5.6 in the National Trade Measurement Regulations 2009 exempts </w:t>
            </w:r>
            <w:r w:rsidRPr="006C1137">
              <w:rPr>
                <w:rFonts w:eastAsia="Calibri"/>
                <w:color w:val="00B0F0"/>
                <w:u w:val="single"/>
              </w:rPr>
              <w:t>certain classes of</w:t>
            </w:r>
            <w:r w:rsidRPr="006C1137">
              <w:rPr>
                <w:rFonts w:eastAsia="Calibri"/>
                <w:color w:val="00B0F0"/>
              </w:rPr>
              <w:t xml:space="preserve"> </w:t>
            </w:r>
            <w:r w:rsidRPr="006C1137">
              <w:rPr>
                <w:rFonts w:eastAsia="Calibri"/>
              </w:rPr>
              <w:t xml:space="preserve">electricity meters from </w:t>
            </w:r>
            <w:r w:rsidRPr="006C1137">
              <w:rPr>
                <w:rFonts w:eastAsia="Calibri"/>
                <w:strike/>
                <w:color w:val="FF0000"/>
              </w:rPr>
              <w:t>Part IV</w:t>
            </w:r>
            <w:r w:rsidRPr="006C1137">
              <w:rPr>
                <w:rFonts w:eastAsia="Calibri"/>
                <w:color w:val="FF0000"/>
              </w:rPr>
              <w:t xml:space="preserve"> </w:t>
            </w:r>
            <w:r w:rsidRPr="006C1137">
              <w:rPr>
                <w:rFonts w:eastAsia="Calibri"/>
                <w:color w:val="00B0F0"/>
                <w:u w:val="single"/>
              </w:rPr>
              <w:t>section 4A</w:t>
            </w:r>
            <w:r w:rsidRPr="006C1137">
              <w:rPr>
                <w:rFonts w:eastAsia="Calibri"/>
              </w:rPr>
              <w:t xml:space="preserve"> of the Act.  (The exemption was previously located in the National Measurement Regulations);</w:t>
            </w:r>
            <w:r w:rsidRPr="006C1137">
              <w:rPr>
                <w:rFonts w:eastAsia="Calibri"/>
                <w:strike/>
                <w:color w:val="FF0000"/>
              </w:rPr>
              <w:t xml:space="preserve"> and</w:t>
            </w:r>
          </w:p>
        </w:tc>
        <w:tc>
          <w:tcPr>
            <w:tcW w:w="6379" w:type="dxa"/>
          </w:tcPr>
          <w:p w14:paraId="6DAF2765" w14:textId="77777777" w:rsidR="00CB6612" w:rsidRPr="006C1137" w:rsidRDefault="00CB6612" w:rsidP="00DB79CC">
            <w:pPr>
              <w:spacing w:before="120" w:after="120"/>
              <w:rPr>
                <w:rFonts w:cs="Calibri"/>
                <w:color w:val="1E4164"/>
              </w:rPr>
            </w:pPr>
          </w:p>
        </w:tc>
      </w:tr>
      <w:tr w:rsidR="00CB6612" w:rsidRPr="006C1137" w14:paraId="0FA918FB" w14:textId="77777777" w:rsidTr="00DB79CC">
        <w:tc>
          <w:tcPr>
            <w:tcW w:w="1275" w:type="dxa"/>
            <w:shd w:val="clear" w:color="auto" w:fill="auto"/>
          </w:tcPr>
          <w:p w14:paraId="082B36B8" w14:textId="1E3BD1B7" w:rsidR="00CB6612" w:rsidRPr="006C1137" w:rsidRDefault="00CB6612" w:rsidP="00D8178C">
            <w:pPr>
              <w:spacing w:after="120" w:line="240" w:lineRule="auto"/>
              <w:rPr>
                <w:rFonts w:eastAsia="Calibri"/>
              </w:rPr>
            </w:pPr>
            <w:r w:rsidRPr="006C1137">
              <w:rPr>
                <w:rFonts w:eastAsia="Calibri"/>
              </w:rPr>
              <w:t>5.1.2</w:t>
            </w:r>
            <w:r w:rsidR="00F622FE">
              <w:rPr>
                <w:rFonts w:eastAsia="Calibri"/>
              </w:rPr>
              <w:t xml:space="preserve">; </w:t>
            </w:r>
            <w:r w:rsidRPr="006C1137">
              <w:rPr>
                <w:rFonts w:eastAsia="Calibri"/>
              </w:rPr>
              <w:t>5.2</w:t>
            </w:r>
            <w:r w:rsidR="00F622FE">
              <w:rPr>
                <w:rFonts w:eastAsia="Calibri"/>
              </w:rPr>
              <w:t xml:space="preserve">; </w:t>
            </w:r>
            <w:r w:rsidRPr="006C1137">
              <w:rPr>
                <w:rFonts w:eastAsia="Calibri"/>
              </w:rPr>
              <w:t>5.2.1</w:t>
            </w:r>
            <w:r w:rsidR="00F622FE">
              <w:rPr>
                <w:rFonts w:eastAsia="Calibri"/>
              </w:rPr>
              <w:t xml:space="preserve">; </w:t>
            </w:r>
            <w:r w:rsidRPr="006C1137">
              <w:rPr>
                <w:rFonts w:eastAsia="Calibri"/>
              </w:rPr>
              <w:t>5.2.2</w:t>
            </w:r>
            <w:r w:rsidR="00F622FE">
              <w:rPr>
                <w:rFonts w:eastAsia="Calibri"/>
              </w:rPr>
              <w:t xml:space="preserve">; </w:t>
            </w:r>
            <w:r w:rsidRPr="006C1137">
              <w:rPr>
                <w:rFonts w:eastAsia="Calibri"/>
              </w:rPr>
              <w:t>5.2.4</w:t>
            </w:r>
            <w:r w:rsidR="00D8178C">
              <w:rPr>
                <w:rFonts w:eastAsia="Calibri"/>
              </w:rPr>
              <w:t xml:space="preserve">; </w:t>
            </w:r>
            <w:r w:rsidRPr="006C1137">
              <w:rPr>
                <w:rFonts w:eastAsia="Calibri"/>
              </w:rPr>
              <w:t>5.3</w:t>
            </w:r>
          </w:p>
        </w:tc>
        <w:tc>
          <w:tcPr>
            <w:tcW w:w="5103" w:type="dxa"/>
            <w:shd w:val="clear" w:color="auto" w:fill="auto"/>
          </w:tcPr>
          <w:p w14:paraId="7CDEECC8" w14:textId="77777777" w:rsidR="00CB6612" w:rsidRPr="006C1137" w:rsidRDefault="00CB6612" w:rsidP="00DB79CC">
            <w:pPr>
              <w:rPr>
                <w:rFonts w:eastAsia="Calibri"/>
              </w:rPr>
            </w:pPr>
            <w:r w:rsidRPr="006C1137">
              <w:rPr>
                <w:rFonts w:eastAsia="Calibri"/>
              </w:rPr>
              <w:t>Minor changes</w:t>
            </w:r>
          </w:p>
        </w:tc>
        <w:tc>
          <w:tcPr>
            <w:tcW w:w="6379" w:type="dxa"/>
          </w:tcPr>
          <w:p w14:paraId="0F2EC0DA" w14:textId="77777777" w:rsidR="00CB6612" w:rsidRPr="006C1137" w:rsidRDefault="00CB6612" w:rsidP="00DB79CC">
            <w:pPr>
              <w:spacing w:before="120" w:after="120"/>
              <w:rPr>
                <w:rFonts w:cs="Calibri"/>
                <w:color w:val="1E4164"/>
              </w:rPr>
            </w:pPr>
          </w:p>
        </w:tc>
      </w:tr>
      <w:tr w:rsidR="00CB6612" w:rsidRPr="006C1137" w14:paraId="6C9F6F5B" w14:textId="77777777" w:rsidTr="00DB79CC">
        <w:tc>
          <w:tcPr>
            <w:tcW w:w="1275" w:type="dxa"/>
            <w:shd w:val="clear" w:color="auto" w:fill="auto"/>
          </w:tcPr>
          <w:p w14:paraId="653007FC" w14:textId="77777777" w:rsidR="00CB6612" w:rsidRPr="006C1137" w:rsidRDefault="00CB6612" w:rsidP="00DB79CC">
            <w:pPr>
              <w:rPr>
                <w:rFonts w:eastAsia="Calibri"/>
              </w:rPr>
            </w:pPr>
            <w:r w:rsidRPr="006C1137">
              <w:rPr>
                <w:rFonts w:eastAsia="Calibri"/>
              </w:rPr>
              <w:t>6.1</w:t>
            </w:r>
          </w:p>
        </w:tc>
        <w:tc>
          <w:tcPr>
            <w:tcW w:w="5103" w:type="dxa"/>
            <w:shd w:val="clear" w:color="auto" w:fill="auto"/>
          </w:tcPr>
          <w:p w14:paraId="7EAF2E3A" w14:textId="77777777" w:rsidR="00CB6612" w:rsidRPr="006C1137" w:rsidRDefault="00CB6612" w:rsidP="00DB79CC">
            <w:pPr>
              <w:spacing w:after="120" w:line="240" w:lineRule="auto"/>
              <w:rPr>
                <w:rFonts w:eastAsia="Calibri"/>
              </w:rPr>
            </w:pPr>
            <w:r w:rsidRPr="006C1137">
              <w:rPr>
                <w:rFonts w:eastAsia="Calibri"/>
                <w:i/>
              </w:rPr>
              <w:t>National Trade Measurement Regulations</w:t>
            </w:r>
            <w:r w:rsidRPr="006C1137">
              <w:rPr>
                <w:rFonts w:eastAsia="Calibri"/>
              </w:rPr>
              <w:t xml:space="preserve"> 2009, Regulation 5.6, “Exempt utility meters”:</w:t>
            </w:r>
          </w:p>
          <w:p w14:paraId="218D658D" w14:textId="77777777" w:rsidR="00CB6612" w:rsidRPr="006C1137" w:rsidRDefault="00CB6612" w:rsidP="00DB79CC">
            <w:pPr>
              <w:spacing w:after="120" w:line="240" w:lineRule="auto"/>
              <w:rPr>
                <w:rFonts w:eastAsia="Calibri"/>
              </w:rPr>
            </w:pPr>
            <w:r w:rsidRPr="006C1137">
              <w:rPr>
                <w:rFonts w:eastAsia="Calibri"/>
              </w:rPr>
              <w:t>•</w:t>
            </w:r>
            <w:r w:rsidRPr="006C1137">
              <w:rPr>
                <w:rFonts w:eastAsia="Calibri"/>
              </w:rPr>
              <w:tab/>
              <w:t xml:space="preserve">For the definition of utility meter in subsection 3(1) of the Act, the following classes of meters are exempted from the operation of </w:t>
            </w:r>
            <w:r w:rsidRPr="006C1137">
              <w:rPr>
                <w:rFonts w:eastAsia="Calibri"/>
                <w:strike/>
                <w:color w:val="FF0000"/>
              </w:rPr>
              <w:t>Part IV</w:t>
            </w:r>
            <w:r w:rsidRPr="006C1137">
              <w:rPr>
                <w:rFonts w:eastAsia="Calibri"/>
                <w:color w:val="FF0000"/>
              </w:rPr>
              <w:t xml:space="preserve"> </w:t>
            </w:r>
            <w:r w:rsidRPr="006C1137">
              <w:rPr>
                <w:rFonts w:eastAsia="Calibri"/>
                <w:color w:val="0070C0"/>
                <w:u w:val="single"/>
              </w:rPr>
              <w:t>section 4A</w:t>
            </w:r>
            <w:r w:rsidRPr="006C1137">
              <w:rPr>
                <w:rFonts w:eastAsia="Calibri"/>
                <w:color w:val="0070C0"/>
              </w:rPr>
              <w:t xml:space="preserve"> </w:t>
            </w:r>
            <w:r w:rsidRPr="006C1137">
              <w:rPr>
                <w:rFonts w:eastAsia="Calibri"/>
              </w:rPr>
              <w:t>of the Act:</w:t>
            </w:r>
          </w:p>
          <w:p w14:paraId="487D9D13" w14:textId="3235526E" w:rsidR="00CB6612" w:rsidRPr="006C1137" w:rsidRDefault="00C52447" w:rsidP="00C52447">
            <w:pPr>
              <w:pStyle w:val="ListParagraph"/>
              <w:spacing w:after="120" w:line="240" w:lineRule="auto"/>
              <w:ind w:left="0"/>
              <w:contextualSpacing w:val="0"/>
              <w:jc w:val="left"/>
              <w:rPr>
                <w:rFonts w:ascii="Calibri" w:hAnsi="Calibri"/>
                <w:szCs w:val="22"/>
              </w:rPr>
            </w:pPr>
            <w:r>
              <w:rPr>
                <w:rFonts w:ascii="Calibri" w:hAnsi="Calibri"/>
                <w:color w:val="0070C0"/>
                <w:szCs w:val="22"/>
              </w:rPr>
              <w:t>(b)</w:t>
            </w:r>
            <w:r w:rsidR="00CB6612" w:rsidRPr="006C1137">
              <w:rPr>
                <w:rFonts w:ascii="Calibri" w:hAnsi="Calibri"/>
                <w:color w:val="0070C0"/>
                <w:szCs w:val="22"/>
              </w:rPr>
              <w:t xml:space="preserve"> e</w:t>
            </w:r>
            <w:r w:rsidR="00CB6612" w:rsidRPr="006C1137">
              <w:rPr>
                <w:rFonts w:ascii="Calibri" w:hAnsi="Calibri"/>
                <w:szCs w:val="22"/>
              </w:rPr>
              <w:t xml:space="preserve">lectricity meters </w:t>
            </w:r>
            <w:r w:rsidR="00CB6612" w:rsidRPr="006C1137">
              <w:rPr>
                <w:rFonts w:ascii="Calibri" w:hAnsi="Calibri"/>
                <w:color w:val="0070C0"/>
                <w:szCs w:val="22"/>
                <w:u w:val="single"/>
              </w:rPr>
              <w:t xml:space="preserve">installed before 1 January </w:t>
            </w:r>
            <w:proofErr w:type="gramStart"/>
            <w:r w:rsidR="00CB6612" w:rsidRPr="006C1137">
              <w:rPr>
                <w:rFonts w:ascii="Calibri" w:hAnsi="Calibri"/>
                <w:color w:val="0070C0"/>
                <w:szCs w:val="22"/>
                <w:u w:val="single"/>
              </w:rPr>
              <w:t>2013;</w:t>
            </w:r>
            <w:proofErr w:type="gramEnd"/>
          </w:p>
          <w:p w14:paraId="15FFCD5A" w14:textId="279AEE06" w:rsidR="00CB6612" w:rsidRPr="006C1137" w:rsidRDefault="00C52447" w:rsidP="00DB79CC">
            <w:pPr>
              <w:rPr>
                <w:rFonts w:eastAsia="Calibri"/>
              </w:rPr>
            </w:pPr>
            <w:r>
              <w:rPr>
                <w:rFonts w:eastAsia="Calibri"/>
                <w:color w:val="0070C0"/>
              </w:rPr>
              <w:t>(</w:t>
            </w:r>
            <w:proofErr w:type="spellStart"/>
            <w:r>
              <w:rPr>
                <w:rFonts w:eastAsia="Calibri"/>
                <w:color w:val="0070C0"/>
              </w:rPr>
              <w:t>ba</w:t>
            </w:r>
            <w:proofErr w:type="spellEnd"/>
            <w:r>
              <w:rPr>
                <w:rFonts w:eastAsia="Calibri"/>
                <w:color w:val="0070C0"/>
              </w:rPr>
              <w:t xml:space="preserve">) </w:t>
            </w:r>
            <w:r w:rsidR="00CB6612" w:rsidRPr="006C1137">
              <w:rPr>
                <w:rFonts w:eastAsia="Calibri"/>
                <w:color w:val="0070C0"/>
              </w:rPr>
              <w:t>e</w:t>
            </w:r>
            <w:r w:rsidR="00CB6612" w:rsidRPr="006C1137">
              <w:rPr>
                <w:rFonts w:eastAsia="Calibri"/>
                <w:color w:val="0070C0"/>
                <w:u w:val="single"/>
              </w:rPr>
              <w:t>lectricity meters installed on or after 1 January 2013, other than electricity meters that measure less than 750 MWh of energy per year;</w:t>
            </w:r>
          </w:p>
        </w:tc>
        <w:tc>
          <w:tcPr>
            <w:tcW w:w="6379" w:type="dxa"/>
          </w:tcPr>
          <w:p w14:paraId="1175BB4F" w14:textId="77777777" w:rsidR="00CB6612" w:rsidRPr="006C1137" w:rsidRDefault="00CB6612" w:rsidP="00DB79CC">
            <w:pPr>
              <w:spacing w:before="120" w:after="120"/>
              <w:rPr>
                <w:rFonts w:cs="Calibri"/>
                <w:color w:val="1E4164"/>
              </w:rPr>
            </w:pPr>
          </w:p>
        </w:tc>
      </w:tr>
      <w:tr w:rsidR="00CB6612" w:rsidRPr="006C1137" w14:paraId="244AC714" w14:textId="77777777" w:rsidTr="00DB79CC">
        <w:tc>
          <w:tcPr>
            <w:tcW w:w="1275" w:type="dxa"/>
            <w:shd w:val="clear" w:color="auto" w:fill="auto"/>
          </w:tcPr>
          <w:p w14:paraId="765F8BFC" w14:textId="6F529E2C" w:rsidR="00CB6612" w:rsidRPr="006C1137" w:rsidRDefault="00CB6612" w:rsidP="00D8178C">
            <w:pPr>
              <w:spacing w:after="120" w:line="240" w:lineRule="auto"/>
              <w:rPr>
                <w:rFonts w:eastAsia="Calibri"/>
              </w:rPr>
            </w:pPr>
            <w:r w:rsidRPr="006C1137">
              <w:rPr>
                <w:rFonts w:eastAsia="Calibri"/>
              </w:rPr>
              <w:t>6.2</w:t>
            </w:r>
            <w:r w:rsidR="00D8178C">
              <w:rPr>
                <w:rFonts w:eastAsia="Calibri"/>
              </w:rPr>
              <w:t xml:space="preserve">; </w:t>
            </w:r>
            <w:r w:rsidRPr="006C1137">
              <w:rPr>
                <w:rFonts w:eastAsia="Calibri"/>
              </w:rPr>
              <w:t>7</w:t>
            </w:r>
            <w:r w:rsidR="00D8178C">
              <w:rPr>
                <w:rFonts w:eastAsia="Calibri"/>
              </w:rPr>
              <w:t xml:space="preserve">; </w:t>
            </w:r>
            <w:r w:rsidRPr="006C1137">
              <w:rPr>
                <w:rFonts w:eastAsia="Calibri"/>
              </w:rPr>
              <w:t>8.3</w:t>
            </w:r>
            <w:r w:rsidR="00D8178C">
              <w:rPr>
                <w:rFonts w:eastAsia="Calibri"/>
              </w:rPr>
              <w:t xml:space="preserve">; </w:t>
            </w:r>
            <w:r w:rsidRPr="006C1137">
              <w:rPr>
                <w:rFonts w:eastAsia="Calibri"/>
              </w:rPr>
              <w:t>Appendix C</w:t>
            </w:r>
          </w:p>
        </w:tc>
        <w:tc>
          <w:tcPr>
            <w:tcW w:w="5103" w:type="dxa"/>
            <w:shd w:val="clear" w:color="auto" w:fill="auto"/>
          </w:tcPr>
          <w:p w14:paraId="4A8A4320" w14:textId="77777777" w:rsidR="00CB6612" w:rsidRPr="006C1137" w:rsidRDefault="00CB6612" w:rsidP="00DB79CC">
            <w:pPr>
              <w:rPr>
                <w:rFonts w:eastAsia="Calibri"/>
              </w:rPr>
            </w:pPr>
            <w:r w:rsidRPr="006C1137">
              <w:rPr>
                <w:rFonts w:eastAsia="Calibri"/>
              </w:rPr>
              <w:t>Minor changes</w:t>
            </w:r>
          </w:p>
        </w:tc>
        <w:tc>
          <w:tcPr>
            <w:tcW w:w="6379" w:type="dxa"/>
          </w:tcPr>
          <w:p w14:paraId="353DF0C7" w14:textId="77777777" w:rsidR="00CB6612" w:rsidRPr="006C1137" w:rsidRDefault="00CB6612" w:rsidP="00DB79CC">
            <w:pPr>
              <w:spacing w:before="120" w:after="120"/>
              <w:rPr>
                <w:rFonts w:cs="Calibri"/>
                <w:color w:val="1E4164"/>
              </w:rPr>
            </w:pPr>
          </w:p>
        </w:tc>
      </w:tr>
    </w:tbl>
    <w:p w14:paraId="63C41A5D" w14:textId="77777777" w:rsidR="00CB6612" w:rsidRPr="006C1137" w:rsidRDefault="00CB6612" w:rsidP="00CB6612">
      <w:pPr>
        <w:rPr>
          <w:rFonts w:cs="Calibri"/>
        </w:rPr>
      </w:pPr>
    </w:p>
    <w:p w14:paraId="1C4AB9F7" w14:textId="04505DA9" w:rsidR="00736A8B" w:rsidRPr="00F52152" w:rsidRDefault="00F52152" w:rsidP="00821FFF">
      <w:pPr>
        <w:pStyle w:val="Heading1"/>
        <w:keepNext w:val="0"/>
        <w:widowControl w:val="0"/>
      </w:pPr>
      <w:r w:rsidRPr="00F52152">
        <w:t>MSATS Procedures: Consumer Administration and Transfer Solution (CATS) Procedure Principles and Obligation  (MSATS Procedures: CATS)</w:t>
      </w:r>
      <w:bookmarkEnd w:id="4"/>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4678"/>
        <w:gridCol w:w="8134"/>
      </w:tblGrid>
      <w:tr w:rsidR="00736A8B" w:rsidRPr="006C1137" w14:paraId="0E73490E" w14:textId="77777777" w:rsidTr="00F52152">
        <w:trPr>
          <w:tblHeader/>
        </w:trPr>
        <w:tc>
          <w:tcPr>
            <w:tcW w:w="1275" w:type="dxa"/>
            <w:shd w:val="clear" w:color="auto" w:fill="D9D9D9"/>
          </w:tcPr>
          <w:p w14:paraId="474C0AE1" w14:textId="77777777" w:rsidR="00736A8B" w:rsidRPr="006C1137" w:rsidRDefault="004D0982" w:rsidP="00821FFF">
            <w:pPr>
              <w:widowControl w:val="0"/>
              <w:spacing w:before="120" w:after="120"/>
              <w:outlineLvl w:val="1"/>
              <w:rPr>
                <w:rFonts w:cs="Calibri"/>
                <w:b/>
                <w:bCs/>
                <w:iCs/>
                <w:sz w:val="28"/>
                <w:szCs w:val="28"/>
              </w:rPr>
            </w:pPr>
            <w:r w:rsidRPr="006C1137">
              <w:rPr>
                <w:rFonts w:cs="Calibri"/>
                <w:b/>
                <w:bCs/>
                <w:iCs/>
                <w:sz w:val="28"/>
                <w:szCs w:val="28"/>
              </w:rPr>
              <w:t>Section</w:t>
            </w:r>
          </w:p>
        </w:tc>
        <w:tc>
          <w:tcPr>
            <w:tcW w:w="4678" w:type="dxa"/>
            <w:shd w:val="clear" w:color="auto" w:fill="D9D9D9"/>
          </w:tcPr>
          <w:p w14:paraId="4B4A409D" w14:textId="77777777" w:rsidR="00736A8B" w:rsidRPr="006C1137" w:rsidRDefault="004D0982" w:rsidP="00821FFF">
            <w:pPr>
              <w:widowControl w:val="0"/>
              <w:spacing w:before="120" w:after="120"/>
              <w:outlineLvl w:val="1"/>
              <w:rPr>
                <w:rFonts w:cs="Calibri"/>
                <w:b/>
                <w:bCs/>
                <w:iCs/>
                <w:sz w:val="28"/>
                <w:szCs w:val="28"/>
              </w:rPr>
            </w:pPr>
            <w:r w:rsidRPr="006C1137">
              <w:rPr>
                <w:rFonts w:cs="Calibri"/>
                <w:b/>
                <w:bCs/>
                <w:iCs/>
                <w:sz w:val="28"/>
                <w:szCs w:val="28"/>
              </w:rPr>
              <w:t>Description</w:t>
            </w:r>
          </w:p>
        </w:tc>
        <w:tc>
          <w:tcPr>
            <w:tcW w:w="8134" w:type="dxa"/>
            <w:shd w:val="clear" w:color="auto" w:fill="D9D9D9"/>
          </w:tcPr>
          <w:p w14:paraId="7A9DAFEE" w14:textId="77777777" w:rsidR="00736A8B" w:rsidRPr="006C1137" w:rsidRDefault="00736A8B" w:rsidP="00821FFF">
            <w:pPr>
              <w:widowControl w:val="0"/>
              <w:spacing w:before="120" w:after="120"/>
              <w:outlineLvl w:val="1"/>
              <w:rPr>
                <w:rFonts w:cs="Calibri"/>
                <w:color w:val="1E4164"/>
              </w:rPr>
            </w:pPr>
            <w:r w:rsidRPr="006C1137">
              <w:rPr>
                <w:rFonts w:cs="Calibri"/>
                <w:b/>
                <w:bCs/>
                <w:iCs/>
                <w:sz w:val="28"/>
                <w:szCs w:val="28"/>
              </w:rPr>
              <w:t>Participant Comments</w:t>
            </w:r>
          </w:p>
        </w:tc>
      </w:tr>
      <w:tr w:rsidR="00F52152" w:rsidRPr="006C1137" w14:paraId="374AFC85" w14:textId="77777777" w:rsidTr="00F52152">
        <w:tc>
          <w:tcPr>
            <w:tcW w:w="1275" w:type="dxa"/>
            <w:shd w:val="clear" w:color="auto" w:fill="auto"/>
          </w:tcPr>
          <w:p w14:paraId="77C660D8" w14:textId="059EFF52" w:rsidR="00F52152" w:rsidRPr="006C1137" w:rsidRDefault="00F52152" w:rsidP="00821FFF">
            <w:pPr>
              <w:widowControl w:val="0"/>
              <w:spacing w:after="120" w:line="240" w:lineRule="auto"/>
              <w:rPr>
                <w:rFonts w:cs="Calibri"/>
              </w:rPr>
            </w:pPr>
            <w:r w:rsidRPr="006C1137">
              <w:rPr>
                <w:rFonts w:eastAsia="Calibri"/>
              </w:rPr>
              <w:t>9.1.4</w:t>
            </w:r>
            <w:r w:rsidR="008C11C9">
              <w:rPr>
                <w:rFonts w:eastAsia="Calibri"/>
              </w:rPr>
              <w:t xml:space="preserve">; </w:t>
            </w:r>
            <w:r w:rsidRPr="006C1137">
              <w:rPr>
                <w:rFonts w:eastAsia="Calibri"/>
              </w:rPr>
              <w:t>9.2.4</w:t>
            </w:r>
            <w:r w:rsidR="008C11C9">
              <w:rPr>
                <w:rFonts w:eastAsia="Calibri"/>
              </w:rPr>
              <w:t>;</w:t>
            </w:r>
            <w:r w:rsidR="00666EFD">
              <w:rPr>
                <w:rFonts w:eastAsia="Calibri"/>
              </w:rPr>
              <w:t xml:space="preserve"> </w:t>
            </w:r>
            <w:r w:rsidRPr="006C1137">
              <w:rPr>
                <w:rFonts w:eastAsia="Calibri"/>
              </w:rPr>
              <w:t>9.3.4</w:t>
            </w:r>
            <w:r w:rsidR="00666EFD">
              <w:rPr>
                <w:rFonts w:eastAsia="Calibri"/>
              </w:rPr>
              <w:t xml:space="preserve">; </w:t>
            </w:r>
            <w:r w:rsidRPr="006C1137">
              <w:rPr>
                <w:rFonts w:eastAsia="Calibri"/>
              </w:rPr>
              <w:t>9.4.4</w:t>
            </w:r>
            <w:r w:rsidR="00666EFD">
              <w:rPr>
                <w:rFonts w:eastAsia="Calibri"/>
              </w:rPr>
              <w:t xml:space="preserve">; </w:t>
            </w:r>
            <w:r w:rsidRPr="006C1137">
              <w:rPr>
                <w:rFonts w:eastAsia="Calibri"/>
              </w:rPr>
              <w:t>12.2.4</w:t>
            </w:r>
            <w:r w:rsidR="00666EFD">
              <w:rPr>
                <w:rFonts w:eastAsia="Calibri"/>
              </w:rPr>
              <w:t xml:space="preserve">; </w:t>
            </w:r>
            <w:r w:rsidRPr="006C1137">
              <w:rPr>
                <w:rFonts w:eastAsia="Calibri"/>
              </w:rPr>
              <w:t>12.2.5</w:t>
            </w:r>
            <w:r w:rsidR="00666EFD">
              <w:rPr>
                <w:rFonts w:eastAsia="Calibri"/>
              </w:rPr>
              <w:t xml:space="preserve">; </w:t>
            </w:r>
            <w:r w:rsidRPr="006C1137">
              <w:rPr>
                <w:rFonts w:eastAsia="Calibri"/>
              </w:rPr>
              <w:t>12.3.4</w:t>
            </w:r>
            <w:r w:rsidR="00666EFD">
              <w:rPr>
                <w:rFonts w:eastAsia="Calibri"/>
              </w:rPr>
              <w:t xml:space="preserve">; </w:t>
            </w:r>
            <w:r w:rsidRPr="006C1137">
              <w:rPr>
                <w:rFonts w:eastAsia="Calibri"/>
              </w:rPr>
              <w:t>12.5.4</w:t>
            </w:r>
          </w:p>
        </w:tc>
        <w:tc>
          <w:tcPr>
            <w:tcW w:w="4678" w:type="dxa"/>
            <w:shd w:val="clear" w:color="auto" w:fill="auto"/>
          </w:tcPr>
          <w:p w14:paraId="107E389B" w14:textId="21DEEEEC" w:rsidR="00F52152" w:rsidRPr="006C1137" w:rsidRDefault="00F52152" w:rsidP="00821FFF">
            <w:pPr>
              <w:widowControl w:val="0"/>
              <w:rPr>
                <w:rFonts w:cs="Calibri"/>
              </w:rPr>
            </w:pPr>
            <w:r w:rsidRPr="006C1137">
              <w:rPr>
                <w:rFonts w:eastAsia="Calibri"/>
              </w:rPr>
              <w:t>Removes obligation for LNSP and ENM to populate a Change Request with Connection Configuration.</w:t>
            </w:r>
          </w:p>
        </w:tc>
        <w:tc>
          <w:tcPr>
            <w:tcW w:w="8134" w:type="dxa"/>
          </w:tcPr>
          <w:p w14:paraId="554E48C8" w14:textId="77777777" w:rsidR="00F52152" w:rsidRPr="006C1137" w:rsidRDefault="00F52152" w:rsidP="00821FFF">
            <w:pPr>
              <w:widowControl w:val="0"/>
              <w:spacing w:before="120" w:after="120"/>
              <w:rPr>
                <w:rFonts w:cs="Calibri"/>
                <w:color w:val="1E4164"/>
              </w:rPr>
            </w:pPr>
          </w:p>
        </w:tc>
      </w:tr>
      <w:tr w:rsidR="00F52152" w:rsidRPr="006C1137" w14:paraId="26F28D66" w14:textId="77777777" w:rsidTr="00F52152">
        <w:tc>
          <w:tcPr>
            <w:tcW w:w="1275" w:type="dxa"/>
            <w:shd w:val="clear" w:color="auto" w:fill="auto"/>
          </w:tcPr>
          <w:p w14:paraId="79F48607" w14:textId="0080985F" w:rsidR="00F52152" w:rsidRPr="006C1137" w:rsidRDefault="00F52152" w:rsidP="00F52152">
            <w:pPr>
              <w:rPr>
                <w:rFonts w:cs="Calibri"/>
              </w:rPr>
            </w:pPr>
            <w:r w:rsidRPr="006C1137">
              <w:rPr>
                <w:rFonts w:eastAsia="Calibri"/>
              </w:rPr>
              <w:t>9.3.4(h)</w:t>
            </w:r>
          </w:p>
        </w:tc>
        <w:tc>
          <w:tcPr>
            <w:tcW w:w="4678" w:type="dxa"/>
            <w:shd w:val="clear" w:color="auto" w:fill="auto"/>
          </w:tcPr>
          <w:p w14:paraId="34C6B6DA" w14:textId="606236AC" w:rsidR="00F52152" w:rsidRPr="006C1137" w:rsidRDefault="00F52152" w:rsidP="00F52152">
            <w:pPr>
              <w:rPr>
                <w:rFonts w:cs="Calibri"/>
              </w:rPr>
            </w:pPr>
            <w:r w:rsidRPr="006C1137">
              <w:rPr>
                <w:rFonts w:eastAsia="Calibri"/>
              </w:rPr>
              <w:t>Allows LNSPs to populate the Change Request with Connection Configuration information</w:t>
            </w:r>
          </w:p>
        </w:tc>
        <w:tc>
          <w:tcPr>
            <w:tcW w:w="8134" w:type="dxa"/>
          </w:tcPr>
          <w:p w14:paraId="466189DC" w14:textId="77777777" w:rsidR="00F52152" w:rsidRPr="006C1137" w:rsidRDefault="00F52152" w:rsidP="00F52152">
            <w:pPr>
              <w:spacing w:before="120" w:after="120"/>
              <w:rPr>
                <w:rFonts w:cs="Calibri"/>
                <w:color w:val="1E4164"/>
              </w:rPr>
            </w:pPr>
          </w:p>
        </w:tc>
      </w:tr>
      <w:tr w:rsidR="00F52152" w:rsidRPr="006C1137" w14:paraId="61819937" w14:textId="77777777" w:rsidTr="00F52152">
        <w:tc>
          <w:tcPr>
            <w:tcW w:w="1275" w:type="dxa"/>
            <w:shd w:val="clear" w:color="auto" w:fill="auto"/>
          </w:tcPr>
          <w:p w14:paraId="4C60AFD9" w14:textId="7129B138" w:rsidR="00F52152" w:rsidRPr="006C1137" w:rsidRDefault="00F52152" w:rsidP="00666EFD">
            <w:pPr>
              <w:spacing w:after="120" w:line="240" w:lineRule="auto"/>
              <w:rPr>
                <w:rFonts w:cs="Calibri"/>
              </w:rPr>
            </w:pPr>
            <w:r w:rsidRPr="006C1137">
              <w:rPr>
                <w:rFonts w:eastAsia="Calibri"/>
              </w:rPr>
              <w:t>10.1.4(d)</w:t>
            </w:r>
            <w:r w:rsidR="00666EFD">
              <w:rPr>
                <w:rFonts w:eastAsia="Calibri"/>
              </w:rPr>
              <w:t xml:space="preserve">; </w:t>
            </w:r>
            <w:r w:rsidRPr="006C1137">
              <w:rPr>
                <w:rFonts w:eastAsia="Calibri"/>
              </w:rPr>
              <w:t>10.2.4(d)</w:t>
            </w:r>
            <w:r w:rsidR="00666EFD">
              <w:rPr>
                <w:rFonts w:eastAsia="Calibri"/>
              </w:rPr>
              <w:t xml:space="preserve">; </w:t>
            </w:r>
            <w:r w:rsidRPr="006C1137">
              <w:rPr>
                <w:rFonts w:eastAsia="Calibri"/>
              </w:rPr>
              <w:t>10.3.4(d)</w:t>
            </w:r>
          </w:p>
        </w:tc>
        <w:tc>
          <w:tcPr>
            <w:tcW w:w="4678" w:type="dxa"/>
            <w:shd w:val="clear" w:color="auto" w:fill="auto"/>
          </w:tcPr>
          <w:p w14:paraId="3446F019" w14:textId="7FE7ECD7" w:rsidR="00F52152" w:rsidRPr="006C1137" w:rsidRDefault="00F52152" w:rsidP="00F52152">
            <w:pPr>
              <w:rPr>
                <w:rFonts w:cs="Calibri"/>
              </w:rPr>
            </w:pPr>
            <w:r w:rsidRPr="006C1137">
              <w:rPr>
                <w:rFonts w:eastAsia="Calibri"/>
              </w:rPr>
              <w:t>Adds obligation for MPB to populate a Change Request with Connection Configuration.</w:t>
            </w:r>
          </w:p>
        </w:tc>
        <w:tc>
          <w:tcPr>
            <w:tcW w:w="8134" w:type="dxa"/>
          </w:tcPr>
          <w:p w14:paraId="2075C7E0" w14:textId="77777777" w:rsidR="00F52152" w:rsidRPr="006C1137" w:rsidRDefault="00F52152" w:rsidP="00F52152">
            <w:pPr>
              <w:spacing w:before="120" w:after="120"/>
              <w:rPr>
                <w:rFonts w:cs="Calibri"/>
                <w:color w:val="1E4164"/>
              </w:rPr>
            </w:pPr>
          </w:p>
        </w:tc>
      </w:tr>
      <w:tr w:rsidR="00F52152" w:rsidRPr="006C1137" w14:paraId="19AAA059" w14:textId="77777777" w:rsidTr="00F52152">
        <w:tc>
          <w:tcPr>
            <w:tcW w:w="1275" w:type="dxa"/>
            <w:shd w:val="clear" w:color="auto" w:fill="auto"/>
          </w:tcPr>
          <w:p w14:paraId="52C64851" w14:textId="33C69087" w:rsidR="00F52152" w:rsidRPr="006C1137" w:rsidRDefault="00F52152" w:rsidP="00666EFD">
            <w:pPr>
              <w:spacing w:after="120" w:line="240" w:lineRule="auto"/>
              <w:rPr>
                <w:rFonts w:cs="Calibri"/>
              </w:rPr>
            </w:pPr>
            <w:r w:rsidRPr="006C1137">
              <w:rPr>
                <w:rFonts w:eastAsia="Calibri"/>
              </w:rPr>
              <w:t>10.4.4(d)</w:t>
            </w:r>
            <w:r w:rsidR="00666EFD">
              <w:rPr>
                <w:rFonts w:eastAsia="Calibri"/>
              </w:rPr>
              <w:t xml:space="preserve">; </w:t>
            </w:r>
            <w:r w:rsidRPr="006C1137">
              <w:rPr>
                <w:rFonts w:eastAsia="Calibri"/>
              </w:rPr>
              <w:t>10.5.4(d)</w:t>
            </w:r>
          </w:p>
        </w:tc>
        <w:tc>
          <w:tcPr>
            <w:tcW w:w="4678" w:type="dxa"/>
            <w:shd w:val="clear" w:color="auto" w:fill="auto"/>
          </w:tcPr>
          <w:p w14:paraId="1BD128A4" w14:textId="4CF5C9B8" w:rsidR="00F52152" w:rsidRPr="006C1137" w:rsidRDefault="00F52152" w:rsidP="00F52152">
            <w:pPr>
              <w:rPr>
                <w:rFonts w:cs="Calibri"/>
              </w:rPr>
            </w:pPr>
            <w:r w:rsidRPr="006C1137">
              <w:rPr>
                <w:rFonts w:eastAsia="Calibri"/>
              </w:rPr>
              <w:t>Adds obligation for MC to populate a Change Request with Connection Configuration.</w:t>
            </w:r>
          </w:p>
        </w:tc>
        <w:tc>
          <w:tcPr>
            <w:tcW w:w="8134" w:type="dxa"/>
          </w:tcPr>
          <w:p w14:paraId="4210CD8E" w14:textId="77777777" w:rsidR="00F52152" w:rsidRPr="006C1137" w:rsidRDefault="00F52152" w:rsidP="00F52152">
            <w:pPr>
              <w:spacing w:before="120" w:after="120"/>
              <w:rPr>
                <w:rFonts w:cs="Calibri"/>
                <w:color w:val="1E4164"/>
              </w:rPr>
            </w:pPr>
          </w:p>
        </w:tc>
      </w:tr>
      <w:tr w:rsidR="00F52152" w:rsidRPr="006C1137" w14:paraId="0B3A9EFF" w14:textId="77777777" w:rsidTr="00F52152">
        <w:tc>
          <w:tcPr>
            <w:tcW w:w="1275" w:type="dxa"/>
            <w:shd w:val="clear" w:color="auto" w:fill="auto"/>
          </w:tcPr>
          <w:p w14:paraId="1B6586BD" w14:textId="05D171FE" w:rsidR="00F52152" w:rsidRPr="006C1137" w:rsidRDefault="00F52152" w:rsidP="00F52152">
            <w:pPr>
              <w:rPr>
                <w:rFonts w:cs="Calibri"/>
              </w:rPr>
            </w:pPr>
            <w:r w:rsidRPr="006C1137">
              <w:rPr>
                <w:rFonts w:eastAsia="Calibri"/>
              </w:rPr>
              <w:t>15.1.4(d)</w:t>
            </w:r>
            <w:r w:rsidR="0025107B">
              <w:rPr>
                <w:rFonts w:eastAsia="Calibri"/>
              </w:rPr>
              <w:t xml:space="preserve">; </w:t>
            </w:r>
            <w:r w:rsidRPr="006C1137">
              <w:rPr>
                <w:rFonts w:eastAsia="Calibri"/>
              </w:rPr>
              <w:t xml:space="preserve">15.1.4(f) </w:t>
            </w:r>
          </w:p>
        </w:tc>
        <w:tc>
          <w:tcPr>
            <w:tcW w:w="4678" w:type="dxa"/>
            <w:shd w:val="clear" w:color="auto" w:fill="auto"/>
          </w:tcPr>
          <w:p w14:paraId="20EEB304" w14:textId="52A2B3B8" w:rsidR="00F52152" w:rsidRPr="006C1137" w:rsidRDefault="00F52152" w:rsidP="00F52152">
            <w:pPr>
              <w:rPr>
                <w:rFonts w:cs="Calibri"/>
              </w:rPr>
            </w:pPr>
            <w:r w:rsidRPr="006C1137">
              <w:rPr>
                <w:rFonts w:eastAsia="Calibri"/>
              </w:rPr>
              <w:t>Changes position of reference to Connection Configuration for AEMO from 15.1.4(d) to 15.1.4(f).</w:t>
            </w:r>
          </w:p>
        </w:tc>
        <w:tc>
          <w:tcPr>
            <w:tcW w:w="8134" w:type="dxa"/>
          </w:tcPr>
          <w:p w14:paraId="00565655" w14:textId="77777777" w:rsidR="00F52152" w:rsidRPr="006C1137" w:rsidRDefault="00F52152" w:rsidP="00F52152">
            <w:pPr>
              <w:spacing w:before="120" w:after="120"/>
              <w:rPr>
                <w:rFonts w:cs="Calibri"/>
                <w:color w:val="1E4164"/>
              </w:rPr>
            </w:pPr>
          </w:p>
        </w:tc>
      </w:tr>
      <w:tr w:rsidR="00F52152" w:rsidRPr="006C1137" w14:paraId="07AA2B8C" w14:textId="77777777" w:rsidTr="00F52152">
        <w:tc>
          <w:tcPr>
            <w:tcW w:w="1275" w:type="dxa"/>
            <w:shd w:val="clear" w:color="auto" w:fill="auto"/>
          </w:tcPr>
          <w:p w14:paraId="407C572B" w14:textId="46D57C73" w:rsidR="00F52152" w:rsidRPr="006C1137" w:rsidRDefault="00F52152" w:rsidP="00F52152">
            <w:pPr>
              <w:rPr>
                <w:rFonts w:cs="Calibri"/>
              </w:rPr>
            </w:pPr>
            <w:r w:rsidRPr="006C1137">
              <w:rPr>
                <w:rFonts w:eastAsia="Calibri"/>
              </w:rPr>
              <w:t xml:space="preserve">Table 16-C </w:t>
            </w:r>
          </w:p>
        </w:tc>
        <w:tc>
          <w:tcPr>
            <w:tcW w:w="4678" w:type="dxa"/>
            <w:shd w:val="clear" w:color="auto" w:fill="auto"/>
          </w:tcPr>
          <w:p w14:paraId="7D28D4A0" w14:textId="0714231E" w:rsidR="00F52152" w:rsidRPr="006C1137" w:rsidRDefault="00F52152" w:rsidP="00F52152">
            <w:pPr>
              <w:rPr>
                <w:rFonts w:cs="Calibri"/>
              </w:rPr>
            </w:pPr>
            <w:r w:rsidRPr="006C1137">
              <w:rPr>
                <w:rFonts w:eastAsia="Calibri"/>
              </w:rPr>
              <w:t>Table 16-C to be removed from NMI_DATA section and moved to METER REGISTER section.</w:t>
            </w:r>
          </w:p>
        </w:tc>
        <w:tc>
          <w:tcPr>
            <w:tcW w:w="8134" w:type="dxa"/>
          </w:tcPr>
          <w:p w14:paraId="2271ED52" w14:textId="77777777" w:rsidR="00F52152" w:rsidRPr="006C1137" w:rsidRDefault="00F52152" w:rsidP="00F52152">
            <w:pPr>
              <w:spacing w:before="120" w:after="120"/>
              <w:rPr>
                <w:rFonts w:cs="Calibri"/>
                <w:color w:val="1E4164"/>
              </w:rPr>
            </w:pPr>
          </w:p>
        </w:tc>
      </w:tr>
    </w:tbl>
    <w:p w14:paraId="41D62F0E" w14:textId="77777777" w:rsidR="00D3729A" w:rsidRPr="006C1137" w:rsidRDefault="00D3729A">
      <w:pPr>
        <w:rPr>
          <w:rFonts w:cs="Calibri"/>
        </w:rPr>
      </w:pPr>
    </w:p>
    <w:p w14:paraId="3484B264" w14:textId="77777777" w:rsidR="0025107B" w:rsidRPr="00310786" w:rsidRDefault="0025107B" w:rsidP="0025107B">
      <w:pPr>
        <w:pStyle w:val="Heading1"/>
      </w:pPr>
      <w:bookmarkStart w:id="5" w:name="_Toc72135983"/>
      <w:bookmarkStart w:id="6" w:name="_Toc72135985"/>
      <w:r w:rsidRPr="00310786">
        <w:lastRenderedPageBreak/>
        <w:t>MSATS Procedures: Procedure for the Management of Wholesale, Interconnector, Generator and Sample (WIGS) NMIS (MSATS Procedures: WIGS)</w:t>
      </w:r>
      <w:bookmarkEnd w:id="6"/>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395"/>
        <w:gridCol w:w="7371"/>
      </w:tblGrid>
      <w:tr w:rsidR="0025107B" w:rsidRPr="00310786" w14:paraId="5645104F" w14:textId="77777777" w:rsidTr="00E322ED">
        <w:trPr>
          <w:tblHeader/>
        </w:trPr>
        <w:tc>
          <w:tcPr>
            <w:tcW w:w="1275" w:type="dxa"/>
            <w:tcBorders>
              <w:bottom w:val="single" w:sz="4" w:space="0" w:color="auto"/>
            </w:tcBorders>
            <w:shd w:val="clear" w:color="auto" w:fill="D9D9D9"/>
          </w:tcPr>
          <w:p w14:paraId="61BC66FD" w14:textId="77777777" w:rsidR="0025107B" w:rsidRPr="00310786" w:rsidRDefault="0025107B" w:rsidP="00DB79CC">
            <w:pPr>
              <w:keepNext/>
              <w:spacing w:before="120" w:after="120"/>
              <w:outlineLvl w:val="1"/>
              <w:rPr>
                <w:rFonts w:cs="Calibri"/>
                <w:b/>
                <w:bCs/>
                <w:iCs/>
                <w:sz w:val="28"/>
                <w:szCs w:val="28"/>
              </w:rPr>
            </w:pPr>
            <w:r w:rsidRPr="00310786">
              <w:rPr>
                <w:rFonts w:cs="Calibri"/>
                <w:b/>
                <w:bCs/>
                <w:iCs/>
                <w:sz w:val="28"/>
                <w:szCs w:val="28"/>
              </w:rPr>
              <w:t>Section</w:t>
            </w:r>
          </w:p>
        </w:tc>
        <w:tc>
          <w:tcPr>
            <w:tcW w:w="4395" w:type="dxa"/>
            <w:tcBorders>
              <w:bottom w:val="single" w:sz="4" w:space="0" w:color="auto"/>
            </w:tcBorders>
            <w:shd w:val="clear" w:color="auto" w:fill="D9D9D9"/>
          </w:tcPr>
          <w:p w14:paraId="13C7EEC0" w14:textId="77777777" w:rsidR="0025107B" w:rsidRPr="00310786" w:rsidRDefault="0025107B" w:rsidP="00DB79CC">
            <w:pPr>
              <w:keepNext/>
              <w:spacing w:before="120" w:after="120"/>
              <w:outlineLvl w:val="1"/>
              <w:rPr>
                <w:rFonts w:cs="Calibri"/>
                <w:b/>
                <w:bCs/>
                <w:iCs/>
                <w:sz w:val="28"/>
                <w:szCs w:val="28"/>
              </w:rPr>
            </w:pPr>
            <w:r w:rsidRPr="00310786">
              <w:rPr>
                <w:rFonts w:cs="Calibri"/>
                <w:b/>
                <w:bCs/>
                <w:iCs/>
                <w:sz w:val="28"/>
                <w:szCs w:val="28"/>
              </w:rPr>
              <w:t>Description</w:t>
            </w:r>
          </w:p>
        </w:tc>
        <w:tc>
          <w:tcPr>
            <w:tcW w:w="7371" w:type="dxa"/>
            <w:tcBorders>
              <w:bottom w:val="single" w:sz="4" w:space="0" w:color="auto"/>
            </w:tcBorders>
            <w:shd w:val="clear" w:color="auto" w:fill="D9D9D9"/>
          </w:tcPr>
          <w:p w14:paraId="781EF25F" w14:textId="77777777" w:rsidR="0025107B" w:rsidRPr="00310786" w:rsidRDefault="0025107B" w:rsidP="00DB79CC">
            <w:pPr>
              <w:keepNext/>
              <w:spacing w:before="120" w:after="120"/>
              <w:outlineLvl w:val="1"/>
              <w:rPr>
                <w:rFonts w:cs="Calibri"/>
                <w:color w:val="1E4164"/>
              </w:rPr>
            </w:pPr>
            <w:r w:rsidRPr="00310786">
              <w:rPr>
                <w:rFonts w:cs="Calibri"/>
                <w:b/>
                <w:bCs/>
                <w:iCs/>
                <w:sz w:val="28"/>
                <w:szCs w:val="28"/>
              </w:rPr>
              <w:t>Participant Comments</w:t>
            </w:r>
          </w:p>
        </w:tc>
      </w:tr>
      <w:tr w:rsidR="00E322ED" w:rsidRPr="00310786" w14:paraId="7DE0FFC4" w14:textId="77777777" w:rsidTr="00E322ED">
        <w:tc>
          <w:tcPr>
            <w:tcW w:w="1275" w:type="dxa"/>
          </w:tcPr>
          <w:p w14:paraId="328F92D2" w14:textId="76114AB5" w:rsidR="00E322ED" w:rsidRPr="00310786" w:rsidRDefault="00E322ED" w:rsidP="00E322ED">
            <w:pPr>
              <w:rPr>
                <w:rFonts w:cs="Calibri"/>
              </w:rPr>
            </w:pPr>
            <w:r>
              <w:rPr>
                <w:rFonts w:asciiTheme="minorHAnsi" w:eastAsiaTheme="minorHAnsi" w:hAnsiTheme="minorHAnsi" w:cstheme="minorBidi"/>
              </w:rPr>
              <w:t>4.1.4; 4.2.4; 4.3.4; 7.1.4; 7.1.5; 7.2.3; 7.3.4</w:t>
            </w:r>
          </w:p>
        </w:tc>
        <w:tc>
          <w:tcPr>
            <w:tcW w:w="4395" w:type="dxa"/>
          </w:tcPr>
          <w:p w14:paraId="49006040" w14:textId="18DEF969" w:rsidR="00E322ED" w:rsidRPr="00310786" w:rsidRDefault="00E322ED" w:rsidP="00E322ED">
            <w:pPr>
              <w:rPr>
                <w:rFonts w:cs="Calibri"/>
              </w:rPr>
            </w:pPr>
            <w:r>
              <w:rPr>
                <w:rFonts w:asciiTheme="minorHAnsi" w:eastAsiaTheme="minorHAnsi" w:hAnsiTheme="minorHAnsi" w:cstheme="minorBidi"/>
              </w:rPr>
              <w:t>Removes obligation for LNSP and ENM to populate a Change Request with Connection Configuration.</w:t>
            </w:r>
          </w:p>
        </w:tc>
        <w:tc>
          <w:tcPr>
            <w:tcW w:w="7371" w:type="dxa"/>
            <w:tcBorders>
              <w:top w:val="single" w:sz="4" w:space="0" w:color="auto"/>
              <w:left w:val="single" w:sz="4" w:space="0" w:color="auto"/>
              <w:bottom w:val="single" w:sz="4" w:space="0" w:color="auto"/>
              <w:right w:val="single" w:sz="4" w:space="0" w:color="auto"/>
            </w:tcBorders>
          </w:tcPr>
          <w:p w14:paraId="2E79488C" w14:textId="77777777" w:rsidR="00E322ED" w:rsidRPr="00310786" w:rsidRDefault="00E322ED" w:rsidP="00E322ED">
            <w:pPr>
              <w:spacing w:before="120" w:after="120"/>
              <w:rPr>
                <w:rFonts w:cs="Calibri"/>
                <w:color w:val="1E4164"/>
              </w:rPr>
            </w:pPr>
          </w:p>
        </w:tc>
      </w:tr>
      <w:tr w:rsidR="00E322ED" w:rsidRPr="00310786" w14:paraId="16EADDC4" w14:textId="77777777" w:rsidTr="00E322ED">
        <w:tc>
          <w:tcPr>
            <w:tcW w:w="1275" w:type="dxa"/>
          </w:tcPr>
          <w:p w14:paraId="002B6CE9" w14:textId="3D12F7BA" w:rsidR="00E322ED" w:rsidRPr="00310786" w:rsidRDefault="00E322ED" w:rsidP="00E322ED">
            <w:pPr>
              <w:rPr>
                <w:rFonts w:cs="Calibri"/>
              </w:rPr>
            </w:pPr>
            <w:r>
              <w:rPr>
                <w:rFonts w:asciiTheme="minorHAnsi" w:eastAsiaTheme="minorHAnsi" w:hAnsiTheme="minorHAnsi" w:cstheme="minorBidi"/>
              </w:rPr>
              <w:t>5.2.4(d); 5.3.4(d); 5.4.4(d)</w:t>
            </w:r>
          </w:p>
        </w:tc>
        <w:tc>
          <w:tcPr>
            <w:tcW w:w="4395" w:type="dxa"/>
          </w:tcPr>
          <w:p w14:paraId="1CFDC4C5" w14:textId="1BB67875" w:rsidR="00E322ED" w:rsidRPr="00310786" w:rsidRDefault="00E322ED" w:rsidP="00E322ED">
            <w:pPr>
              <w:rPr>
                <w:rFonts w:cs="Calibri"/>
              </w:rPr>
            </w:pPr>
            <w:r w:rsidRPr="00963AD4">
              <w:rPr>
                <w:rFonts w:asciiTheme="minorHAnsi" w:eastAsiaTheme="minorHAnsi" w:hAnsiTheme="minorHAnsi" w:cstheme="minorBidi"/>
              </w:rPr>
              <w:t>Adds obligation for MPB to populate a Change Request with Connection Configuration.</w:t>
            </w:r>
          </w:p>
        </w:tc>
        <w:tc>
          <w:tcPr>
            <w:tcW w:w="7371" w:type="dxa"/>
            <w:tcBorders>
              <w:top w:val="single" w:sz="4" w:space="0" w:color="auto"/>
              <w:left w:val="single" w:sz="4" w:space="0" w:color="auto"/>
              <w:bottom w:val="single" w:sz="4" w:space="0" w:color="auto"/>
              <w:right w:val="single" w:sz="4" w:space="0" w:color="auto"/>
            </w:tcBorders>
          </w:tcPr>
          <w:p w14:paraId="4E726DCB" w14:textId="77777777" w:rsidR="00E322ED" w:rsidRPr="00310786" w:rsidRDefault="00E322ED" w:rsidP="00E322ED">
            <w:pPr>
              <w:spacing w:before="120" w:after="120"/>
              <w:rPr>
                <w:rFonts w:cs="Calibri"/>
                <w:color w:val="1E4164"/>
              </w:rPr>
            </w:pPr>
          </w:p>
        </w:tc>
      </w:tr>
      <w:tr w:rsidR="00E322ED" w:rsidRPr="00310786" w14:paraId="50849BC2" w14:textId="77777777" w:rsidTr="00E322ED">
        <w:tc>
          <w:tcPr>
            <w:tcW w:w="1275" w:type="dxa"/>
          </w:tcPr>
          <w:p w14:paraId="3A79202D" w14:textId="4237EAD5" w:rsidR="00E322ED" w:rsidRPr="00310786" w:rsidRDefault="00E322ED" w:rsidP="00E322ED">
            <w:pPr>
              <w:rPr>
                <w:rFonts w:cs="Calibri"/>
              </w:rPr>
            </w:pPr>
            <w:r>
              <w:rPr>
                <w:rFonts w:asciiTheme="minorHAnsi" w:eastAsiaTheme="minorHAnsi" w:hAnsiTheme="minorHAnsi" w:cstheme="minorBidi"/>
              </w:rPr>
              <w:t>9</w:t>
            </w:r>
            <w:r w:rsidRPr="006F4B4B">
              <w:rPr>
                <w:rFonts w:asciiTheme="minorHAnsi" w:eastAsiaTheme="minorHAnsi" w:hAnsiTheme="minorHAnsi" w:cstheme="minorBidi"/>
              </w:rPr>
              <w:t>.1.4(</w:t>
            </w:r>
            <w:r>
              <w:rPr>
                <w:rFonts w:asciiTheme="minorHAnsi" w:eastAsiaTheme="minorHAnsi" w:hAnsiTheme="minorHAnsi" w:cstheme="minorBidi"/>
              </w:rPr>
              <w:t>b</w:t>
            </w:r>
            <w:r w:rsidRPr="006F4B4B">
              <w:rPr>
                <w:rFonts w:asciiTheme="minorHAnsi" w:eastAsiaTheme="minorHAnsi" w:hAnsiTheme="minorHAnsi" w:cstheme="minorBidi"/>
              </w:rPr>
              <w:t>)</w:t>
            </w:r>
            <w:r>
              <w:rPr>
                <w:rFonts w:asciiTheme="minorHAnsi" w:eastAsiaTheme="minorHAnsi" w:hAnsiTheme="minorHAnsi" w:cstheme="minorBidi"/>
              </w:rPr>
              <w:t>(</w:t>
            </w:r>
            <w:proofErr w:type="spellStart"/>
            <w:r>
              <w:rPr>
                <w:rFonts w:asciiTheme="minorHAnsi" w:eastAsiaTheme="minorHAnsi" w:hAnsiTheme="minorHAnsi" w:cstheme="minorBidi"/>
              </w:rPr>
              <w:t>i</w:t>
            </w:r>
            <w:proofErr w:type="spellEnd"/>
            <w:r>
              <w:rPr>
                <w:rFonts w:asciiTheme="minorHAnsi" w:eastAsiaTheme="minorHAnsi" w:hAnsiTheme="minorHAnsi" w:cstheme="minorBidi"/>
              </w:rPr>
              <w:t xml:space="preserve">); </w:t>
            </w:r>
            <w:r w:rsidRPr="006F4B4B">
              <w:rPr>
                <w:rFonts w:asciiTheme="minorHAnsi" w:eastAsiaTheme="minorHAnsi" w:hAnsiTheme="minorHAnsi" w:cstheme="minorBidi"/>
              </w:rPr>
              <w:t xml:space="preserve"> </w:t>
            </w:r>
            <w:r>
              <w:rPr>
                <w:rFonts w:asciiTheme="minorHAnsi" w:eastAsiaTheme="minorHAnsi" w:hAnsiTheme="minorHAnsi" w:cstheme="minorBidi"/>
              </w:rPr>
              <w:t>9</w:t>
            </w:r>
            <w:r w:rsidRPr="006F4B4B">
              <w:rPr>
                <w:rFonts w:asciiTheme="minorHAnsi" w:eastAsiaTheme="minorHAnsi" w:hAnsiTheme="minorHAnsi" w:cstheme="minorBidi"/>
              </w:rPr>
              <w:t>.1.4(</w:t>
            </w:r>
            <w:r>
              <w:rPr>
                <w:rFonts w:asciiTheme="minorHAnsi" w:eastAsiaTheme="minorHAnsi" w:hAnsiTheme="minorHAnsi" w:cstheme="minorBidi"/>
              </w:rPr>
              <w:t>b</w:t>
            </w:r>
            <w:r w:rsidRPr="006F4B4B">
              <w:rPr>
                <w:rFonts w:asciiTheme="minorHAnsi" w:eastAsiaTheme="minorHAnsi" w:hAnsiTheme="minorHAnsi" w:cstheme="minorBidi"/>
              </w:rPr>
              <w:t>)</w:t>
            </w:r>
            <w:r>
              <w:rPr>
                <w:rFonts w:asciiTheme="minorHAnsi" w:eastAsiaTheme="minorHAnsi" w:hAnsiTheme="minorHAnsi" w:cstheme="minorBidi"/>
              </w:rPr>
              <w:t xml:space="preserve">(iii) </w:t>
            </w:r>
          </w:p>
        </w:tc>
        <w:tc>
          <w:tcPr>
            <w:tcW w:w="4395" w:type="dxa"/>
          </w:tcPr>
          <w:p w14:paraId="53D42DC5" w14:textId="7638CE68" w:rsidR="00E322ED" w:rsidRPr="00310786" w:rsidRDefault="00E322ED" w:rsidP="00E322ED">
            <w:pPr>
              <w:rPr>
                <w:rFonts w:cs="Calibri"/>
              </w:rPr>
            </w:pPr>
            <w:r>
              <w:rPr>
                <w:rFonts w:asciiTheme="minorHAnsi" w:eastAsiaTheme="minorHAnsi" w:hAnsiTheme="minorHAnsi" w:cstheme="minorBidi"/>
              </w:rPr>
              <w:t xml:space="preserve">Changes position of reference to Connection Configuration for AEMO from </w:t>
            </w:r>
            <w:r w:rsidRPr="004F6AF4">
              <w:rPr>
                <w:rFonts w:asciiTheme="minorHAnsi" w:eastAsiaTheme="minorHAnsi" w:hAnsiTheme="minorHAnsi" w:cstheme="minorBidi"/>
              </w:rPr>
              <w:t>9.1.4(b)(</w:t>
            </w:r>
            <w:proofErr w:type="spellStart"/>
            <w:r w:rsidRPr="004F6AF4">
              <w:rPr>
                <w:rFonts w:asciiTheme="minorHAnsi" w:eastAsiaTheme="minorHAnsi" w:hAnsiTheme="minorHAnsi" w:cstheme="minorBidi"/>
              </w:rPr>
              <w:t>i</w:t>
            </w:r>
            <w:proofErr w:type="spellEnd"/>
            <w:r w:rsidRPr="004F6AF4">
              <w:rPr>
                <w:rFonts w:asciiTheme="minorHAnsi" w:eastAsiaTheme="minorHAnsi" w:hAnsiTheme="minorHAnsi" w:cstheme="minorBidi"/>
              </w:rPr>
              <w:t>)</w:t>
            </w:r>
            <w:r w:rsidRPr="006F4B4B">
              <w:rPr>
                <w:rFonts w:asciiTheme="minorHAnsi" w:eastAsiaTheme="minorHAnsi" w:hAnsiTheme="minorHAnsi" w:cstheme="minorBidi"/>
              </w:rPr>
              <w:t xml:space="preserve"> </w:t>
            </w:r>
            <w:r>
              <w:rPr>
                <w:rFonts w:asciiTheme="minorHAnsi" w:eastAsiaTheme="minorHAnsi" w:hAnsiTheme="minorHAnsi" w:cstheme="minorBidi"/>
              </w:rPr>
              <w:t xml:space="preserve">to </w:t>
            </w:r>
            <w:r w:rsidRPr="004F6AF4">
              <w:rPr>
                <w:rFonts w:asciiTheme="minorHAnsi" w:eastAsiaTheme="minorHAnsi" w:hAnsiTheme="minorHAnsi" w:cstheme="minorBidi"/>
              </w:rPr>
              <w:t>9.1.4(b)(iii)</w:t>
            </w:r>
            <w:r>
              <w:rPr>
                <w:rFonts w:asciiTheme="minorHAnsi" w:eastAsiaTheme="minorHAnsi" w:hAnsiTheme="minorHAnsi" w:cstheme="minorBidi"/>
              </w:rPr>
              <w:t>.</w:t>
            </w:r>
          </w:p>
        </w:tc>
        <w:tc>
          <w:tcPr>
            <w:tcW w:w="7371" w:type="dxa"/>
            <w:tcBorders>
              <w:top w:val="single" w:sz="4" w:space="0" w:color="auto"/>
              <w:left w:val="single" w:sz="4" w:space="0" w:color="auto"/>
              <w:bottom w:val="single" w:sz="4" w:space="0" w:color="auto"/>
              <w:right w:val="single" w:sz="4" w:space="0" w:color="auto"/>
            </w:tcBorders>
          </w:tcPr>
          <w:p w14:paraId="0DECCD17" w14:textId="77777777" w:rsidR="00E322ED" w:rsidRPr="00310786" w:rsidRDefault="00E322ED" w:rsidP="00E322ED">
            <w:pPr>
              <w:spacing w:before="120" w:after="120"/>
              <w:rPr>
                <w:rFonts w:cs="Calibri"/>
                <w:color w:val="1E4164"/>
              </w:rPr>
            </w:pPr>
          </w:p>
        </w:tc>
      </w:tr>
    </w:tbl>
    <w:p w14:paraId="3BC10B66" w14:textId="77777777" w:rsidR="0025107B" w:rsidRPr="00310786" w:rsidRDefault="0025107B" w:rsidP="0025107B">
      <w:pPr>
        <w:rPr>
          <w:rFonts w:cs="Calibri"/>
        </w:rPr>
      </w:pPr>
    </w:p>
    <w:p w14:paraId="0D97D757" w14:textId="34952488" w:rsidR="00F52152" w:rsidRPr="00F52152" w:rsidRDefault="00F52152" w:rsidP="0025107B">
      <w:pPr>
        <w:pStyle w:val="Heading1"/>
      </w:pPr>
      <w:r w:rsidRPr="00F52152">
        <w:t>Standing Data for MSATS</w:t>
      </w:r>
      <w:r>
        <w:t xml:space="preserve"> (Standing Data document)</w:t>
      </w:r>
      <w:bookmarkEnd w:id="5"/>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gridCol w:w="7371"/>
      </w:tblGrid>
      <w:tr w:rsidR="00F52152" w:rsidRPr="00F52152" w14:paraId="31A01F9D" w14:textId="77777777" w:rsidTr="00CB4D36">
        <w:trPr>
          <w:tblHeader/>
        </w:trPr>
        <w:tc>
          <w:tcPr>
            <w:tcW w:w="1134" w:type="dxa"/>
            <w:shd w:val="clear" w:color="auto" w:fill="D9D9D9"/>
          </w:tcPr>
          <w:p w14:paraId="50AD5617" w14:textId="77777777" w:rsidR="00F52152" w:rsidRPr="00F52152" w:rsidRDefault="00F52152" w:rsidP="00CB4D36">
            <w:pPr>
              <w:keepNext/>
              <w:spacing w:before="120" w:after="120"/>
              <w:outlineLvl w:val="1"/>
              <w:rPr>
                <w:rFonts w:cs="Calibri"/>
                <w:b/>
                <w:bCs/>
                <w:iCs/>
                <w:sz w:val="28"/>
                <w:szCs w:val="28"/>
              </w:rPr>
            </w:pPr>
            <w:r w:rsidRPr="00F52152">
              <w:rPr>
                <w:rFonts w:cs="Calibri"/>
                <w:b/>
                <w:bCs/>
                <w:iCs/>
                <w:sz w:val="28"/>
                <w:szCs w:val="28"/>
              </w:rPr>
              <w:t>Section</w:t>
            </w:r>
          </w:p>
        </w:tc>
        <w:tc>
          <w:tcPr>
            <w:tcW w:w="4536" w:type="dxa"/>
            <w:shd w:val="clear" w:color="auto" w:fill="D9D9D9"/>
          </w:tcPr>
          <w:p w14:paraId="24CCA339" w14:textId="77777777" w:rsidR="00F52152" w:rsidRPr="00F52152" w:rsidRDefault="00F52152" w:rsidP="00CB4D36">
            <w:pPr>
              <w:keepNext/>
              <w:spacing w:before="120" w:after="120"/>
              <w:outlineLvl w:val="1"/>
              <w:rPr>
                <w:rFonts w:cs="Calibri"/>
                <w:b/>
                <w:bCs/>
                <w:iCs/>
                <w:sz w:val="28"/>
                <w:szCs w:val="28"/>
              </w:rPr>
            </w:pPr>
            <w:r w:rsidRPr="00F52152">
              <w:rPr>
                <w:rFonts w:cs="Calibri"/>
                <w:b/>
                <w:bCs/>
                <w:iCs/>
                <w:sz w:val="28"/>
                <w:szCs w:val="28"/>
              </w:rPr>
              <w:t>Description</w:t>
            </w:r>
          </w:p>
        </w:tc>
        <w:tc>
          <w:tcPr>
            <w:tcW w:w="7371" w:type="dxa"/>
            <w:shd w:val="clear" w:color="auto" w:fill="D9D9D9"/>
          </w:tcPr>
          <w:p w14:paraId="599E86A4" w14:textId="77777777" w:rsidR="00F52152" w:rsidRPr="00F52152" w:rsidRDefault="00F52152" w:rsidP="00CB4D36">
            <w:pPr>
              <w:keepNext/>
              <w:spacing w:before="120" w:after="120"/>
              <w:outlineLvl w:val="1"/>
              <w:rPr>
                <w:rFonts w:cs="Calibri"/>
                <w:color w:val="1E4164"/>
              </w:rPr>
            </w:pPr>
            <w:r w:rsidRPr="00F52152">
              <w:rPr>
                <w:rFonts w:cs="Calibri"/>
                <w:b/>
                <w:bCs/>
                <w:iCs/>
                <w:sz w:val="28"/>
                <w:szCs w:val="28"/>
              </w:rPr>
              <w:t>Participant Comments</w:t>
            </w:r>
          </w:p>
        </w:tc>
      </w:tr>
      <w:tr w:rsidR="00F52152" w:rsidRPr="00F52152" w14:paraId="09DDAE59" w14:textId="77777777" w:rsidTr="00CB4D36">
        <w:tc>
          <w:tcPr>
            <w:tcW w:w="1134" w:type="dxa"/>
            <w:shd w:val="clear" w:color="auto" w:fill="auto"/>
          </w:tcPr>
          <w:p w14:paraId="66E9A24C" w14:textId="2F4F27C4" w:rsidR="00F52152" w:rsidRPr="00F52152" w:rsidRDefault="00F52152" w:rsidP="00F52152">
            <w:pPr>
              <w:rPr>
                <w:rFonts w:cs="Calibri"/>
              </w:rPr>
            </w:pPr>
            <w:r w:rsidRPr="006C1137">
              <w:rPr>
                <w:rFonts w:eastAsia="Calibri"/>
              </w:rPr>
              <w:t>Table 6 (CATS_NMI_DATA)</w:t>
            </w:r>
          </w:p>
        </w:tc>
        <w:tc>
          <w:tcPr>
            <w:tcW w:w="4536" w:type="dxa"/>
            <w:shd w:val="clear" w:color="auto" w:fill="auto"/>
          </w:tcPr>
          <w:p w14:paraId="2D21DAB8" w14:textId="6A281E8C" w:rsidR="00F52152" w:rsidRPr="00F52152" w:rsidRDefault="00F52152" w:rsidP="00F52152">
            <w:pPr>
              <w:rPr>
                <w:rFonts w:cs="Calibri"/>
              </w:rPr>
            </w:pPr>
            <w:r w:rsidRPr="006C1137">
              <w:rPr>
                <w:rFonts w:eastAsia="Calibri"/>
              </w:rPr>
              <w:t xml:space="preserve">Change location of </w:t>
            </w:r>
            <w:proofErr w:type="spellStart"/>
            <w:r w:rsidRPr="006C1137">
              <w:rPr>
                <w:rFonts w:eastAsia="Calibri"/>
              </w:rPr>
              <w:t>ConnectionConfiguration</w:t>
            </w:r>
            <w:proofErr w:type="spellEnd"/>
            <w:r w:rsidRPr="006C1137">
              <w:rPr>
                <w:rFonts w:eastAsia="Calibri"/>
              </w:rPr>
              <w:t xml:space="preserve"> field to Meter Register table.</w:t>
            </w:r>
          </w:p>
        </w:tc>
        <w:tc>
          <w:tcPr>
            <w:tcW w:w="7371" w:type="dxa"/>
          </w:tcPr>
          <w:p w14:paraId="06D08DD4" w14:textId="77777777" w:rsidR="00F52152" w:rsidRPr="00F52152" w:rsidRDefault="00F52152" w:rsidP="00F52152">
            <w:pPr>
              <w:spacing w:before="120" w:after="120"/>
              <w:rPr>
                <w:rFonts w:cs="Calibri"/>
                <w:color w:val="1E4164"/>
              </w:rPr>
            </w:pPr>
          </w:p>
        </w:tc>
      </w:tr>
      <w:tr w:rsidR="00F52152" w:rsidRPr="00F52152" w14:paraId="2F533FF9" w14:textId="77777777" w:rsidTr="00CB4D36">
        <w:tc>
          <w:tcPr>
            <w:tcW w:w="1134" w:type="dxa"/>
            <w:shd w:val="clear" w:color="auto" w:fill="auto"/>
          </w:tcPr>
          <w:p w14:paraId="09189312" w14:textId="2028D47A" w:rsidR="00F52152" w:rsidRPr="00F52152" w:rsidRDefault="00F52152" w:rsidP="00F52152">
            <w:pPr>
              <w:rPr>
                <w:rFonts w:eastAsia="Calibri"/>
              </w:rPr>
            </w:pPr>
            <w:r w:rsidRPr="006C1137">
              <w:rPr>
                <w:rFonts w:eastAsia="Calibri"/>
              </w:rPr>
              <w:t>Table 3 (CATS_M</w:t>
            </w:r>
            <w:r w:rsidRPr="006C1137">
              <w:rPr>
                <w:rFonts w:eastAsia="Calibri"/>
              </w:rPr>
              <w:lastRenderedPageBreak/>
              <w:t>ETER_REGISTER)</w:t>
            </w:r>
          </w:p>
        </w:tc>
        <w:tc>
          <w:tcPr>
            <w:tcW w:w="4536" w:type="dxa"/>
            <w:shd w:val="clear" w:color="auto" w:fill="auto"/>
          </w:tcPr>
          <w:p w14:paraId="596C0A36" w14:textId="77777777" w:rsidR="00F52152" w:rsidRPr="006C1137" w:rsidRDefault="00F52152" w:rsidP="00F52152">
            <w:pPr>
              <w:spacing w:after="120" w:line="240" w:lineRule="auto"/>
              <w:rPr>
                <w:rFonts w:eastAsia="Calibri"/>
              </w:rPr>
            </w:pPr>
            <w:proofErr w:type="spellStart"/>
            <w:r w:rsidRPr="006C1137">
              <w:rPr>
                <w:rFonts w:eastAsia="Calibri"/>
              </w:rPr>
              <w:lastRenderedPageBreak/>
              <w:t>ConnectionConfiguration</w:t>
            </w:r>
            <w:proofErr w:type="spellEnd"/>
            <w:r w:rsidRPr="006C1137">
              <w:rPr>
                <w:rFonts w:eastAsia="Calibri"/>
              </w:rPr>
              <w:t xml:space="preserve"> field to be updated as follows: </w:t>
            </w:r>
          </w:p>
          <w:p w14:paraId="11A8E068" w14:textId="77777777" w:rsidR="00B42C01" w:rsidRPr="00A27023" w:rsidRDefault="00B42C01" w:rsidP="00B42C01">
            <w:pPr>
              <w:pStyle w:val="TableText"/>
              <w:rPr>
                <w:rFonts w:asciiTheme="minorHAnsi" w:hAnsiTheme="minorHAnsi" w:cstheme="minorHAnsi"/>
                <w:sz w:val="22"/>
                <w:szCs w:val="22"/>
              </w:rPr>
            </w:pPr>
            <w:r w:rsidRPr="00A27023">
              <w:rPr>
                <w:rFonts w:asciiTheme="minorHAnsi" w:hAnsiTheme="minorHAnsi" w:cstheme="minorHAnsi"/>
                <w:sz w:val="22"/>
                <w:szCs w:val="22"/>
              </w:rPr>
              <w:lastRenderedPageBreak/>
              <w:t>Two-character code to denote information about the configuration of the connection point.</w:t>
            </w:r>
          </w:p>
          <w:p w14:paraId="16B5B6AC" w14:textId="77777777" w:rsidR="00B42C01" w:rsidRPr="00A27023" w:rsidRDefault="00B42C01" w:rsidP="00B42C01">
            <w:pPr>
              <w:pStyle w:val="TableText"/>
              <w:rPr>
                <w:rFonts w:asciiTheme="minorHAnsi" w:hAnsiTheme="minorHAnsi" w:cstheme="minorHAnsi"/>
                <w:sz w:val="22"/>
                <w:szCs w:val="22"/>
              </w:rPr>
            </w:pPr>
            <w:r w:rsidRPr="00A27023">
              <w:rPr>
                <w:rFonts w:asciiTheme="minorHAnsi" w:hAnsiTheme="minorHAnsi" w:cstheme="minorHAnsi"/>
                <w:sz w:val="22"/>
                <w:szCs w:val="22"/>
              </w:rPr>
              <w:t>First Character = Connection Type</w:t>
            </w:r>
          </w:p>
          <w:p w14:paraId="542DA380" w14:textId="77777777" w:rsidR="00B42C01" w:rsidRPr="00A27023" w:rsidRDefault="00B42C01" w:rsidP="00B42C01">
            <w:pPr>
              <w:pStyle w:val="TableText"/>
              <w:rPr>
                <w:rFonts w:asciiTheme="minorHAnsi" w:hAnsiTheme="minorHAnsi" w:cstheme="minorHAnsi"/>
                <w:sz w:val="22"/>
                <w:szCs w:val="22"/>
              </w:rPr>
            </w:pPr>
            <w:r w:rsidRPr="00A27023">
              <w:rPr>
                <w:rFonts w:asciiTheme="minorHAnsi" w:hAnsiTheme="minorHAnsi" w:cstheme="minorHAnsi"/>
                <w:sz w:val="22"/>
                <w:szCs w:val="22"/>
              </w:rPr>
              <w:t xml:space="preserve">H = </w:t>
            </w:r>
            <w:r w:rsidRPr="00A27023">
              <w:rPr>
                <w:rFonts w:asciiTheme="minorHAnsi" w:hAnsiTheme="minorHAnsi" w:cstheme="minorHAnsi"/>
                <w:i/>
                <w:iCs/>
                <w:sz w:val="22"/>
                <w:szCs w:val="22"/>
              </w:rPr>
              <w:t>High voltage</w:t>
            </w:r>
            <w:r w:rsidRPr="00A27023">
              <w:rPr>
                <w:rFonts w:asciiTheme="minorHAnsi" w:hAnsiTheme="minorHAnsi" w:cstheme="minorHAnsi"/>
                <w:sz w:val="22"/>
                <w:szCs w:val="22"/>
              </w:rPr>
              <w:t xml:space="preserve"> (as defined in the NER)</w:t>
            </w:r>
          </w:p>
          <w:p w14:paraId="75E6361F" w14:textId="77777777" w:rsidR="00B42C01" w:rsidRPr="00A27023" w:rsidRDefault="00B42C01" w:rsidP="00B42C01">
            <w:pPr>
              <w:pStyle w:val="TableText"/>
              <w:rPr>
                <w:rFonts w:asciiTheme="minorHAnsi" w:hAnsiTheme="minorHAnsi" w:cstheme="minorHAnsi"/>
                <w:sz w:val="22"/>
                <w:szCs w:val="22"/>
              </w:rPr>
            </w:pPr>
            <w:r w:rsidRPr="00A27023">
              <w:rPr>
                <w:rFonts w:asciiTheme="minorHAnsi" w:hAnsiTheme="minorHAnsi" w:cstheme="minorHAnsi"/>
                <w:sz w:val="22"/>
                <w:szCs w:val="22"/>
              </w:rPr>
              <w:t xml:space="preserve">L = Low voltage (lower than the threshold defined for </w:t>
            </w:r>
            <w:r w:rsidRPr="00A27023">
              <w:rPr>
                <w:rFonts w:asciiTheme="minorHAnsi" w:hAnsiTheme="minorHAnsi" w:cstheme="minorHAnsi"/>
                <w:i/>
                <w:iCs/>
                <w:sz w:val="22"/>
                <w:szCs w:val="22"/>
              </w:rPr>
              <w:t>high voltage</w:t>
            </w:r>
            <w:r w:rsidRPr="00A27023">
              <w:rPr>
                <w:rFonts w:asciiTheme="minorHAnsi" w:hAnsiTheme="minorHAnsi" w:cstheme="minorHAnsi"/>
                <w:sz w:val="22"/>
                <w:szCs w:val="22"/>
              </w:rPr>
              <w:t xml:space="preserve"> in the NER)</w:t>
            </w:r>
          </w:p>
          <w:p w14:paraId="1BB72E30" w14:textId="77777777" w:rsidR="00B42C01" w:rsidRPr="00A27023" w:rsidRDefault="00B42C01" w:rsidP="00B42C01">
            <w:pPr>
              <w:spacing w:after="0"/>
              <w:rPr>
                <w:rFonts w:asciiTheme="minorHAnsi" w:eastAsia="Calibri" w:hAnsiTheme="minorHAnsi" w:cstheme="minorHAnsi"/>
                <w:color w:val="auto"/>
              </w:rPr>
            </w:pPr>
            <w:r w:rsidRPr="00A27023">
              <w:rPr>
                <w:rFonts w:asciiTheme="minorHAnsi" w:eastAsia="Calibri" w:hAnsiTheme="minorHAnsi" w:cstheme="minorHAnsi"/>
                <w:color w:val="auto"/>
              </w:rPr>
              <w:t>Second Character</w:t>
            </w:r>
          </w:p>
          <w:p w14:paraId="5D73A2B4" w14:textId="77777777" w:rsidR="00B42C01" w:rsidRPr="00A27023" w:rsidRDefault="00B42C01" w:rsidP="00B42C01">
            <w:pPr>
              <w:spacing w:after="0"/>
              <w:rPr>
                <w:rFonts w:asciiTheme="minorHAnsi" w:eastAsia="Calibri" w:hAnsiTheme="minorHAnsi" w:cstheme="minorHAnsi"/>
                <w:color w:val="auto"/>
              </w:rPr>
            </w:pPr>
            <w:r w:rsidRPr="00A27023">
              <w:rPr>
                <w:rFonts w:asciiTheme="minorHAnsi" w:eastAsia="Calibri" w:hAnsiTheme="minorHAnsi" w:cstheme="minorHAnsi"/>
                <w:color w:val="auto"/>
              </w:rPr>
              <w:t>A = single phase supply/single phase metering</w:t>
            </w:r>
          </w:p>
          <w:p w14:paraId="3835C73B" w14:textId="77777777" w:rsidR="00B42C01" w:rsidRPr="00A27023" w:rsidRDefault="00B42C01" w:rsidP="00B42C01">
            <w:pPr>
              <w:spacing w:after="0"/>
              <w:rPr>
                <w:rFonts w:asciiTheme="minorHAnsi" w:eastAsia="Calibri" w:hAnsiTheme="minorHAnsi" w:cstheme="minorHAnsi"/>
                <w:color w:val="auto"/>
              </w:rPr>
            </w:pPr>
            <w:r w:rsidRPr="00A27023">
              <w:rPr>
                <w:rFonts w:asciiTheme="minorHAnsi" w:eastAsia="Calibri" w:hAnsiTheme="minorHAnsi" w:cstheme="minorHAnsi"/>
                <w:color w:val="auto"/>
              </w:rPr>
              <w:t>B = 2 phase supply/one phase with single phase meter</w:t>
            </w:r>
          </w:p>
          <w:p w14:paraId="0228F53C" w14:textId="77777777" w:rsidR="00B42C01" w:rsidRPr="00A27023" w:rsidRDefault="00B42C01" w:rsidP="00B42C01">
            <w:pPr>
              <w:spacing w:after="0"/>
              <w:rPr>
                <w:rFonts w:asciiTheme="minorHAnsi" w:eastAsia="Calibri" w:hAnsiTheme="minorHAnsi" w:cstheme="minorHAnsi"/>
                <w:color w:val="auto"/>
              </w:rPr>
            </w:pPr>
            <w:r w:rsidRPr="00A27023">
              <w:rPr>
                <w:rFonts w:asciiTheme="minorHAnsi" w:eastAsia="Calibri" w:hAnsiTheme="minorHAnsi" w:cstheme="minorHAnsi"/>
                <w:color w:val="auto"/>
              </w:rPr>
              <w:t>C = 2 phase supply/two phases each with single phase metering</w:t>
            </w:r>
          </w:p>
          <w:p w14:paraId="7854A741" w14:textId="77777777" w:rsidR="00B42C01" w:rsidRPr="00A27023" w:rsidRDefault="00B42C01" w:rsidP="00B42C01">
            <w:pPr>
              <w:spacing w:after="0"/>
              <w:rPr>
                <w:rFonts w:asciiTheme="minorHAnsi" w:eastAsia="Calibri" w:hAnsiTheme="minorHAnsi" w:cstheme="minorHAnsi"/>
                <w:color w:val="auto"/>
              </w:rPr>
            </w:pPr>
            <w:r w:rsidRPr="00A27023">
              <w:rPr>
                <w:rFonts w:asciiTheme="minorHAnsi" w:eastAsia="Calibri" w:hAnsiTheme="minorHAnsi" w:cstheme="minorHAnsi"/>
                <w:color w:val="auto"/>
              </w:rPr>
              <w:t>D = 2 phase supply/ two phase metering</w:t>
            </w:r>
          </w:p>
          <w:p w14:paraId="62A16C1D" w14:textId="77777777" w:rsidR="00B42C01" w:rsidRPr="00A27023" w:rsidRDefault="00B42C01" w:rsidP="00B42C01">
            <w:pPr>
              <w:spacing w:after="0"/>
              <w:rPr>
                <w:rFonts w:asciiTheme="minorHAnsi" w:eastAsia="Calibri" w:hAnsiTheme="minorHAnsi" w:cstheme="minorHAnsi"/>
                <w:color w:val="auto"/>
              </w:rPr>
            </w:pPr>
            <w:r w:rsidRPr="00A27023">
              <w:rPr>
                <w:rFonts w:asciiTheme="minorHAnsi" w:eastAsia="Calibri" w:hAnsiTheme="minorHAnsi" w:cstheme="minorHAnsi"/>
                <w:color w:val="auto"/>
              </w:rPr>
              <w:t>E = 3 phase supply/one phase with single phase metering</w:t>
            </w:r>
          </w:p>
          <w:p w14:paraId="65BD7CE9" w14:textId="77777777" w:rsidR="00B42C01" w:rsidRPr="00A27023" w:rsidRDefault="00B42C01" w:rsidP="00B42C01">
            <w:pPr>
              <w:spacing w:after="0"/>
              <w:rPr>
                <w:rFonts w:asciiTheme="minorHAnsi" w:eastAsia="Calibri" w:hAnsiTheme="minorHAnsi" w:cstheme="minorHAnsi"/>
                <w:color w:val="auto"/>
              </w:rPr>
            </w:pPr>
            <w:r w:rsidRPr="00A27023">
              <w:rPr>
                <w:rFonts w:asciiTheme="minorHAnsi" w:eastAsia="Calibri" w:hAnsiTheme="minorHAnsi" w:cstheme="minorHAnsi"/>
                <w:color w:val="auto"/>
              </w:rPr>
              <w:t>F = 3 phase supply/two phases each with single phase metering</w:t>
            </w:r>
          </w:p>
          <w:p w14:paraId="316DD175" w14:textId="77777777" w:rsidR="00B42C01" w:rsidRPr="00A27023" w:rsidRDefault="00B42C01" w:rsidP="00B42C01">
            <w:pPr>
              <w:spacing w:after="0"/>
              <w:rPr>
                <w:rFonts w:asciiTheme="minorHAnsi" w:eastAsia="Calibri" w:hAnsiTheme="minorHAnsi" w:cstheme="minorHAnsi"/>
                <w:color w:val="auto"/>
              </w:rPr>
            </w:pPr>
            <w:r w:rsidRPr="00A27023">
              <w:rPr>
                <w:rFonts w:asciiTheme="minorHAnsi" w:eastAsia="Calibri" w:hAnsiTheme="minorHAnsi" w:cstheme="minorHAnsi"/>
                <w:color w:val="auto"/>
              </w:rPr>
              <w:t>G = 3 phase supply/two phase metering</w:t>
            </w:r>
          </w:p>
          <w:p w14:paraId="5D095509" w14:textId="77777777" w:rsidR="00B42C01" w:rsidRPr="00A27023" w:rsidRDefault="00B42C01" w:rsidP="00B42C01">
            <w:pPr>
              <w:spacing w:after="0"/>
              <w:rPr>
                <w:rFonts w:asciiTheme="minorHAnsi" w:eastAsia="Calibri" w:hAnsiTheme="minorHAnsi" w:cstheme="minorHAnsi"/>
                <w:color w:val="auto"/>
              </w:rPr>
            </w:pPr>
            <w:r w:rsidRPr="00A27023">
              <w:rPr>
                <w:rFonts w:asciiTheme="minorHAnsi" w:eastAsia="Calibri" w:hAnsiTheme="minorHAnsi" w:cstheme="minorHAnsi"/>
                <w:color w:val="auto"/>
              </w:rPr>
              <w:t>H= 3 phase supply/three phases each with single phase metering</w:t>
            </w:r>
          </w:p>
          <w:p w14:paraId="4A102AD0" w14:textId="77777777" w:rsidR="00B42C01" w:rsidRPr="00A27023" w:rsidRDefault="00B42C01" w:rsidP="00B42C01">
            <w:pPr>
              <w:spacing w:after="0"/>
              <w:rPr>
                <w:rFonts w:asciiTheme="minorHAnsi" w:eastAsia="Calibri" w:hAnsiTheme="minorHAnsi" w:cstheme="minorHAnsi"/>
                <w:color w:val="auto"/>
              </w:rPr>
            </w:pPr>
            <w:r w:rsidRPr="00A27023">
              <w:rPr>
                <w:rFonts w:asciiTheme="minorHAnsi" w:eastAsia="Calibri" w:hAnsiTheme="minorHAnsi" w:cstheme="minorHAnsi"/>
                <w:color w:val="auto"/>
              </w:rPr>
              <w:t>J = 3 phase supply/three phase metering</w:t>
            </w:r>
          </w:p>
          <w:p w14:paraId="694740A8" w14:textId="77777777" w:rsidR="00B42C01" w:rsidRPr="00A27023" w:rsidRDefault="00B42C01" w:rsidP="00B42C01">
            <w:pPr>
              <w:spacing w:after="0"/>
              <w:rPr>
                <w:rFonts w:asciiTheme="minorHAnsi" w:eastAsia="Calibri" w:hAnsiTheme="minorHAnsi" w:cstheme="minorHAnsi"/>
                <w:color w:val="auto"/>
              </w:rPr>
            </w:pPr>
            <w:r w:rsidRPr="00A27023">
              <w:rPr>
                <w:rFonts w:asciiTheme="minorHAnsi" w:eastAsia="Calibri" w:hAnsiTheme="minorHAnsi" w:cstheme="minorHAnsi"/>
                <w:color w:val="auto"/>
              </w:rPr>
              <w:t>K = SWER</w:t>
            </w:r>
          </w:p>
          <w:p w14:paraId="271A3719" w14:textId="77777777" w:rsidR="00B42C01" w:rsidRDefault="00B42C01" w:rsidP="00F52152">
            <w:pPr>
              <w:spacing w:after="120" w:line="240" w:lineRule="auto"/>
              <w:rPr>
                <w:rFonts w:eastAsia="Calibri"/>
              </w:rPr>
            </w:pPr>
          </w:p>
          <w:p w14:paraId="20D094CF" w14:textId="43EAF087" w:rsidR="00F52152" w:rsidRPr="006C1137" w:rsidRDefault="00F52152" w:rsidP="00F52152">
            <w:pPr>
              <w:spacing w:after="120" w:line="240" w:lineRule="auto"/>
              <w:rPr>
                <w:rFonts w:eastAsia="Calibri"/>
              </w:rPr>
            </w:pPr>
            <w:r w:rsidRPr="006C1137">
              <w:rPr>
                <w:rFonts w:eastAsia="Calibri"/>
              </w:rPr>
              <w:t xml:space="preserve">MANDATORY </w:t>
            </w:r>
            <w:r w:rsidRPr="006C1137">
              <w:rPr>
                <w:rFonts w:eastAsia="Calibri"/>
                <w:color w:val="0070C0"/>
                <w:u w:val="single"/>
              </w:rPr>
              <w:t>where there is an installed meter</w:t>
            </w:r>
            <w:r w:rsidRPr="006C1137">
              <w:rPr>
                <w:rFonts w:eastAsia="Calibri"/>
                <w:color w:val="0070C0"/>
              </w:rPr>
              <w:t xml:space="preserve"> </w:t>
            </w:r>
          </w:p>
          <w:p w14:paraId="0ECED496" w14:textId="7CE97ED8" w:rsidR="00F52152" w:rsidRPr="00F52152" w:rsidRDefault="00F52152" w:rsidP="00F52152">
            <w:pPr>
              <w:spacing w:after="120" w:line="240" w:lineRule="auto"/>
            </w:pPr>
            <w:r w:rsidRPr="006C1137">
              <w:rPr>
                <w:rFonts w:eastAsia="Calibri"/>
                <w:color w:val="FF0000"/>
              </w:rPr>
              <w:t xml:space="preserve">Field to be provided by </w:t>
            </w:r>
            <w:r w:rsidRPr="006C1137">
              <w:rPr>
                <w:rFonts w:eastAsia="Calibri"/>
                <w:strike/>
                <w:color w:val="FF0000"/>
              </w:rPr>
              <w:t>LNSP</w:t>
            </w:r>
            <w:r w:rsidRPr="006C1137">
              <w:rPr>
                <w:rFonts w:eastAsia="Calibri"/>
                <w:color w:val="FF0000"/>
              </w:rPr>
              <w:t xml:space="preserve"> </w:t>
            </w:r>
            <w:r w:rsidRPr="006C1137">
              <w:rPr>
                <w:rFonts w:eastAsia="Calibri"/>
                <w:color w:val="0070C0"/>
                <w:u w:val="single"/>
              </w:rPr>
              <w:t>MPB</w:t>
            </w:r>
          </w:p>
        </w:tc>
        <w:tc>
          <w:tcPr>
            <w:tcW w:w="7371" w:type="dxa"/>
          </w:tcPr>
          <w:p w14:paraId="2FBE3710" w14:textId="77777777" w:rsidR="00F52152" w:rsidRPr="00F52152" w:rsidRDefault="00F52152" w:rsidP="00F52152">
            <w:pPr>
              <w:spacing w:before="120" w:after="120"/>
              <w:rPr>
                <w:rFonts w:cs="Calibri"/>
                <w:color w:val="1E4164"/>
              </w:rPr>
            </w:pPr>
          </w:p>
        </w:tc>
      </w:tr>
    </w:tbl>
    <w:p w14:paraId="7EE1A55E" w14:textId="77777777" w:rsidR="00D3729A" w:rsidRPr="006C1137" w:rsidRDefault="00D3729A" w:rsidP="001F1025">
      <w:pPr>
        <w:rPr>
          <w:rFonts w:cs="Calibri"/>
        </w:rPr>
      </w:pPr>
    </w:p>
    <w:p w14:paraId="1AEAD360" w14:textId="6EC4AED0" w:rsidR="0008262D" w:rsidRPr="00310786" w:rsidRDefault="00295455" w:rsidP="00310786">
      <w:pPr>
        <w:pStyle w:val="Heading1"/>
      </w:pPr>
      <w:bookmarkStart w:id="7" w:name="_Toc72135986"/>
      <w:bookmarkEnd w:id="0"/>
      <w:r w:rsidRPr="00310786">
        <w:t>Questions on proposed changes</w:t>
      </w:r>
      <w:bookmarkEnd w:id="7"/>
    </w:p>
    <w:tbl>
      <w:tblPr>
        <w:tblW w:w="12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7222"/>
      </w:tblGrid>
      <w:tr w:rsidR="0008262D" w:rsidRPr="006C1137" w14:paraId="71F78CF9" w14:textId="77777777" w:rsidTr="00232384">
        <w:trPr>
          <w:tblHeader/>
        </w:trPr>
        <w:tc>
          <w:tcPr>
            <w:tcW w:w="5528" w:type="dxa"/>
            <w:tcBorders>
              <w:top w:val="single" w:sz="4" w:space="0" w:color="auto"/>
              <w:left w:val="single" w:sz="4" w:space="0" w:color="auto"/>
              <w:bottom w:val="single" w:sz="4" w:space="0" w:color="auto"/>
              <w:right w:val="single" w:sz="4" w:space="0" w:color="auto"/>
            </w:tcBorders>
            <w:shd w:val="clear" w:color="auto" w:fill="D9D9D9"/>
            <w:hideMark/>
          </w:tcPr>
          <w:p w14:paraId="680E03D6" w14:textId="77777777" w:rsidR="0008262D" w:rsidRPr="006C1137" w:rsidRDefault="0008262D">
            <w:pPr>
              <w:keepNext/>
              <w:spacing w:before="120" w:after="120"/>
              <w:outlineLvl w:val="1"/>
              <w:rPr>
                <w:rFonts w:cs="Calibri"/>
                <w:b/>
                <w:bCs/>
                <w:iCs/>
                <w:sz w:val="28"/>
                <w:szCs w:val="28"/>
              </w:rPr>
            </w:pPr>
            <w:r w:rsidRPr="006C1137">
              <w:rPr>
                <w:rFonts w:cs="Calibri"/>
                <w:b/>
                <w:bCs/>
                <w:iCs/>
                <w:sz w:val="28"/>
                <w:szCs w:val="28"/>
              </w:rPr>
              <w:t>Heading</w:t>
            </w:r>
          </w:p>
        </w:tc>
        <w:tc>
          <w:tcPr>
            <w:tcW w:w="7222" w:type="dxa"/>
            <w:tcBorders>
              <w:top w:val="single" w:sz="4" w:space="0" w:color="auto"/>
              <w:left w:val="single" w:sz="4" w:space="0" w:color="auto"/>
              <w:bottom w:val="single" w:sz="4" w:space="0" w:color="auto"/>
              <w:right w:val="single" w:sz="4" w:space="0" w:color="auto"/>
            </w:tcBorders>
            <w:shd w:val="clear" w:color="auto" w:fill="D9D9D9"/>
            <w:hideMark/>
          </w:tcPr>
          <w:p w14:paraId="7CB62006" w14:textId="77777777" w:rsidR="0008262D" w:rsidRPr="006C1137" w:rsidRDefault="0008262D">
            <w:pPr>
              <w:keepNext/>
              <w:spacing w:before="120" w:after="120"/>
              <w:outlineLvl w:val="1"/>
              <w:rPr>
                <w:rFonts w:cs="Calibri"/>
                <w:color w:val="1E4164"/>
              </w:rPr>
            </w:pPr>
            <w:r w:rsidRPr="006C1137">
              <w:rPr>
                <w:rFonts w:cs="Calibri"/>
                <w:b/>
                <w:bCs/>
                <w:iCs/>
                <w:sz w:val="28"/>
                <w:szCs w:val="28"/>
              </w:rPr>
              <w:t>Participant Comments</w:t>
            </w:r>
          </w:p>
        </w:tc>
      </w:tr>
      <w:tr w:rsidR="00295455" w:rsidRPr="006C1137" w14:paraId="5C4A471E" w14:textId="77777777" w:rsidTr="00232384">
        <w:tc>
          <w:tcPr>
            <w:tcW w:w="5528" w:type="dxa"/>
            <w:tcBorders>
              <w:top w:val="single" w:sz="4" w:space="0" w:color="auto"/>
              <w:left w:val="single" w:sz="4" w:space="0" w:color="auto"/>
              <w:bottom w:val="single" w:sz="4" w:space="0" w:color="auto"/>
              <w:right w:val="single" w:sz="4" w:space="0" w:color="auto"/>
            </w:tcBorders>
            <w:hideMark/>
          </w:tcPr>
          <w:p w14:paraId="40E823F8" w14:textId="6163D56B" w:rsidR="00295455" w:rsidRPr="006C1137" w:rsidRDefault="00433296" w:rsidP="00295455">
            <w:pPr>
              <w:pStyle w:val="TableTitle"/>
              <w:spacing w:before="120" w:after="120"/>
              <w:rPr>
                <w:rFonts w:ascii="Calibri" w:hAnsi="Calibri" w:cs="Calibri"/>
                <w:b w:val="0"/>
                <w:bCs w:val="0"/>
                <w:color w:val="1E4164"/>
                <w:sz w:val="22"/>
                <w:szCs w:val="22"/>
              </w:rPr>
            </w:pPr>
            <w:r w:rsidRPr="00433296">
              <w:rPr>
                <w:rFonts w:ascii="Calibri" w:hAnsi="Calibri" w:cs="Calibri"/>
                <w:b w:val="0"/>
                <w:bCs w:val="0"/>
                <w:color w:val="1F3864"/>
                <w:sz w:val="22"/>
                <w:szCs w:val="22"/>
                <w:lang w:eastAsia="en-AU"/>
              </w:rPr>
              <w:t>With regards to ICF_037 Connection Configuration, do you consider that the field would be better split to allow the LNSP to provide the expected supply connection to the site and the MPB to provide the supply at the metering level?</w:t>
            </w:r>
          </w:p>
        </w:tc>
        <w:tc>
          <w:tcPr>
            <w:tcW w:w="7222" w:type="dxa"/>
            <w:tcBorders>
              <w:top w:val="single" w:sz="4" w:space="0" w:color="auto"/>
              <w:left w:val="single" w:sz="4" w:space="0" w:color="auto"/>
              <w:bottom w:val="single" w:sz="4" w:space="0" w:color="auto"/>
              <w:right w:val="single" w:sz="4" w:space="0" w:color="auto"/>
            </w:tcBorders>
          </w:tcPr>
          <w:p w14:paraId="24B8B025" w14:textId="77777777" w:rsidR="00295455" w:rsidRPr="006C1137" w:rsidRDefault="00295455" w:rsidP="00295455">
            <w:pPr>
              <w:spacing w:before="120" w:after="120"/>
              <w:rPr>
                <w:rFonts w:cs="Calibri"/>
                <w:color w:val="1E4164"/>
              </w:rPr>
            </w:pPr>
          </w:p>
        </w:tc>
      </w:tr>
    </w:tbl>
    <w:p w14:paraId="0994E5BE" w14:textId="77777777" w:rsidR="0008262D" w:rsidRPr="006C1137" w:rsidRDefault="0008262D" w:rsidP="0008262D">
      <w:pPr>
        <w:rPr>
          <w:rFonts w:cs="Calibri"/>
        </w:rPr>
      </w:pPr>
    </w:p>
    <w:sectPr w:rsidR="0008262D" w:rsidRPr="006C1137" w:rsidSect="00276151">
      <w:headerReference w:type="default" r:id="rId13"/>
      <w:footerReference w:type="default" r:id="rId14"/>
      <w:pgSz w:w="16860" w:h="11920" w:orient="landscape"/>
      <w:pgMar w:top="1418" w:right="1140" w:bottom="280" w:left="1300" w:header="743" w:footer="5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FDA8D" w14:textId="77777777" w:rsidR="005A327A" w:rsidRDefault="005A327A">
      <w:pPr>
        <w:spacing w:after="0" w:line="240" w:lineRule="auto"/>
      </w:pPr>
      <w:r>
        <w:separator/>
      </w:r>
    </w:p>
  </w:endnote>
  <w:endnote w:type="continuationSeparator" w:id="0">
    <w:p w14:paraId="27A2FF5C" w14:textId="77777777" w:rsidR="005A327A" w:rsidRDefault="005A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FC5E8" w14:textId="77777777" w:rsidR="00CF6301" w:rsidRDefault="00CF6301" w:rsidP="002F7A2B">
    <w:pPr>
      <w:pStyle w:val="Footer"/>
      <w:pBdr>
        <w:bottom w:val="single" w:sz="6" w:space="1" w:color="auto"/>
      </w:pBdr>
      <w:rPr>
        <w:caps/>
      </w:rPr>
    </w:pPr>
  </w:p>
  <w:p w14:paraId="26483232" w14:textId="77777777" w:rsidR="00CF6301" w:rsidRPr="00CF2090" w:rsidRDefault="00CF6301" w:rsidP="002F7A2B">
    <w:pPr>
      <w:pStyle w:val="Footer"/>
    </w:pPr>
    <w:r>
      <w:t>Procedure Consultation - P</w:t>
    </w:r>
    <w:r w:rsidRPr="008131CE">
      <w:t>articipant</w:t>
    </w:r>
    <w:r>
      <w:t xml:space="preserve"> Response P</w:t>
    </w:r>
    <w:r w:rsidRPr="008131CE">
      <w:t>ack</w:t>
    </w:r>
    <w:r>
      <w:tab/>
    </w:r>
    <w:r>
      <w:tab/>
    </w:r>
    <w:r>
      <w:tab/>
    </w:r>
    <w:r>
      <w:tab/>
    </w:r>
    <w:r>
      <w:tab/>
    </w:r>
    <w:r>
      <w:tab/>
    </w:r>
    <w:r>
      <w:tab/>
    </w:r>
    <w:r w:rsidRPr="00CF2090">
      <w:t xml:space="preserve">Page </w:t>
    </w:r>
    <w:r>
      <w:fldChar w:fldCharType="begin"/>
    </w:r>
    <w:r>
      <w:instrText xml:space="preserve"> PAGE </w:instrText>
    </w:r>
    <w:r>
      <w:fldChar w:fldCharType="separate"/>
    </w:r>
    <w:r w:rsidR="00134220">
      <w:rPr>
        <w:noProof/>
      </w:rPr>
      <w:t>9</w:t>
    </w:r>
    <w:r>
      <w:rPr>
        <w:noProof/>
      </w:rPr>
      <w:fldChar w:fldCharType="end"/>
    </w:r>
    <w:r w:rsidRPr="00CF2090">
      <w:t xml:space="preserve"> of </w:t>
    </w:r>
    <w:fldSimple w:instr=" NUMPAGES  ">
      <w:r w:rsidR="00134220">
        <w:rPr>
          <w:noProof/>
        </w:rPr>
        <w:t>9</w:t>
      </w:r>
    </w:fldSimple>
  </w:p>
  <w:p w14:paraId="3ABA64A2" w14:textId="77777777" w:rsidR="00CF6301" w:rsidRPr="00E33744" w:rsidRDefault="00CF6301" w:rsidP="00481A87">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911F1" w14:textId="77777777" w:rsidR="005A327A" w:rsidRDefault="005A327A">
      <w:pPr>
        <w:spacing w:after="0" w:line="240" w:lineRule="auto"/>
      </w:pPr>
      <w:r>
        <w:separator/>
      </w:r>
    </w:p>
  </w:footnote>
  <w:footnote w:type="continuationSeparator" w:id="0">
    <w:p w14:paraId="77795C4E" w14:textId="77777777" w:rsidR="005A327A" w:rsidRDefault="005A3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6D42" w14:textId="77777777" w:rsidR="009A260E" w:rsidRDefault="009A260E">
    <w:pPr>
      <w:pStyle w:val="Header"/>
    </w:pPr>
  </w:p>
  <w:p w14:paraId="1EFF1E66" w14:textId="77777777" w:rsidR="009A260E" w:rsidRDefault="009A2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A34E" w14:textId="77777777" w:rsidR="00CF6301" w:rsidRDefault="00640167" w:rsidP="008131CE">
    <w:pPr>
      <w:pStyle w:val="Header"/>
      <w:pBdr>
        <w:bottom w:val="single" w:sz="6" w:space="1" w:color="auto"/>
      </w:pBdr>
    </w:pPr>
    <w:r w:rsidRPr="00640167">
      <w:t>Metering Procedure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C31CB"/>
    <w:multiLevelType w:val="multilevel"/>
    <w:tmpl w:val="72708BB4"/>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 w15:restartNumberingAfterBreak="0">
    <w:nsid w:val="165914F5"/>
    <w:multiLevelType w:val="hybridMultilevel"/>
    <w:tmpl w:val="70E445C4"/>
    <w:lvl w:ilvl="0" w:tplc="29C0298C">
      <w:start w:val="1"/>
      <w:numFmt w:val="lowerRoman"/>
      <w:lvlText w:val="(%1)"/>
      <w:lvlJc w:val="righ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15:restartNumberingAfterBreak="0">
    <w:nsid w:val="1AF739D1"/>
    <w:multiLevelType w:val="hybridMultilevel"/>
    <w:tmpl w:val="674070F6"/>
    <w:lvl w:ilvl="0" w:tplc="7D36E3D0">
      <w:start w:val="1"/>
      <w:numFmt w:val="lowerRoman"/>
      <w:lvlText w:val="(%1)"/>
      <w:lvlJc w:val="left"/>
      <w:pPr>
        <w:ind w:left="144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5917BD"/>
    <w:multiLevelType w:val="hybridMultilevel"/>
    <w:tmpl w:val="53CC39A4"/>
    <w:lvl w:ilvl="0" w:tplc="A0E60CA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424583"/>
    <w:multiLevelType w:val="hybridMultilevel"/>
    <w:tmpl w:val="73D898E6"/>
    <w:lvl w:ilvl="0" w:tplc="BB60F3F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736172"/>
    <w:multiLevelType w:val="hybridMultilevel"/>
    <w:tmpl w:val="288CC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DF282B"/>
    <w:multiLevelType w:val="hybridMultilevel"/>
    <w:tmpl w:val="730CF32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267B52"/>
    <w:multiLevelType w:val="hybridMultilevel"/>
    <w:tmpl w:val="CC52F610"/>
    <w:lvl w:ilvl="0" w:tplc="1DC0A2CA">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434F67D1"/>
    <w:multiLevelType w:val="hybridMultilevel"/>
    <w:tmpl w:val="FBB636AC"/>
    <w:lvl w:ilvl="0" w:tplc="A1CA34AE">
      <w:start w:val="1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9B600F"/>
    <w:multiLevelType w:val="multilevel"/>
    <w:tmpl w:val="25CEB05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77744F7"/>
    <w:multiLevelType w:val="hybridMultilevel"/>
    <w:tmpl w:val="0CB84B9A"/>
    <w:lvl w:ilvl="0" w:tplc="2CDC47C0">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9C341D"/>
    <w:multiLevelType w:val="hybridMultilevel"/>
    <w:tmpl w:val="AD4255E0"/>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12" w15:restartNumberingAfterBreak="0">
    <w:nsid w:val="5AD0274F"/>
    <w:multiLevelType w:val="hybridMultilevel"/>
    <w:tmpl w:val="792A9D4C"/>
    <w:lvl w:ilvl="0" w:tplc="31FE48BC">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15:restartNumberingAfterBreak="0">
    <w:nsid w:val="67AF7167"/>
    <w:multiLevelType w:val="hybridMultilevel"/>
    <w:tmpl w:val="418CE74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14" w15:restartNumberingAfterBreak="0">
    <w:nsid w:val="78B91B59"/>
    <w:multiLevelType w:val="hybridMultilevel"/>
    <w:tmpl w:val="BD4A4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B96BFA"/>
    <w:multiLevelType w:val="multilevel"/>
    <w:tmpl w:val="ECE826BC"/>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b w:val="0"/>
        <w:color w:val="auto"/>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3"/>
  </w:num>
  <w:num w:numId="3">
    <w:abstractNumId w:val="6"/>
  </w:num>
  <w:num w:numId="4">
    <w:abstractNumId w:val="3"/>
  </w:num>
  <w:num w:numId="5">
    <w:abstractNumId w:val="3"/>
  </w:num>
  <w:num w:numId="6">
    <w:abstractNumId w:val="3"/>
  </w:num>
  <w:num w:numId="7">
    <w:abstractNumId w:val="9"/>
  </w:num>
  <w:num w:numId="8">
    <w:abstractNumId w:val="12"/>
  </w:num>
  <w:num w:numId="9">
    <w:abstractNumId w:val="3"/>
  </w:num>
  <w:num w:numId="10">
    <w:abstractNumId w:val="0"/>
  </w:num>
  <w:num w:numId="11">
    <w:abstractNumId w:val="3"/>
    <w:lvlOverride w:ilvl="0">
      <w:startOverride w:val="1"/>
    </w:lvlOverride>
  </w:num>
  <w:num w:numId="12">
    <w:abstractNumId w:val="3"/>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5"/>
  </w:num>
  <w:num w:numId="21">
    <w:abstractNumId w:val="14"/>
  </w:num>
  <w:num w:numId="22">
    <w:abstractNumId w:val="3"/>
  </w:num>
  <w:num w:numId="23">
    <w:abstractNumId w:val="3"/>
    <w:lvlOverride w:ilvl="0">
      <w:startOverride w:val="1"/>
    </w:lvlOverride>
  </w:num>
  <w:num w:numId="24">
    <w:abstractNumId w:val="3"/>
    <w:lvlOverride w:ilvl="0">
      <w:startOverride w:val="1"/>
    </w:lvlOverride>
  </w:num>
  <w:num w:numId="25">
    <w:abstractNumId w:val="3"/>
  </w:num>
  <w:num w:numId="26">
    <w:abstractNumId w:val="5"/>
  </w:num>
  <w:num w:numId="27">
    <w:abstractNumId w:val="3"/>
  </w:num>
  <w:num w:numId="28">
    <w:abstractNumId w:val="3"/>
  </w:num>
  <w:num w:numId="29">
    <w:abstractNumId w:val="3"/>
  </w:num>
  <w:num w:numId="30">
    <w:abstractNumId w:val="3"/>
  </w:num>
  <w:num w:numId="31">
    <w:abstractNumId w:val="3"/>
    <w:lvlOverride w:ilvl="0">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
    <w:lvlOverride w:ilvl="0">
      <w:startOverride w:val="1"/>
    </w:lvlOverride>
  </w:num>
  <w:num w:numId="35">
    <w:abstractNumId w:val="10"/>
  </w:num>
  <w:num w:numId="36">
    <w:abstractNumId w:val="3"/>
    <w:lvlOverride w:ilvl="0">
      <w:startOverride w:val="1"/>
    </w:lvlOverride>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
  </w:num>
  <w:num w:numId="41">
    <w:abstractNumId w:val="8"/>
  </w:num>
  <w:num w:numId="42">
    <w:abstractNumId w:val="3"/>
    <w:lvlOverride w:ilvl="0">
      <w:startOverride w:val="1"/>
    </w:lvlOverride>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6E33"/>
    <w:rsid w:val="00000450"/>
    <w:rsid w:val="00003A8A"/>
    <w:rsid w:val="00005E96"/>
    <w:rsid w:val="000247C6"/>
    <w:rsid w:val="000272C2"/>
    <w:rsid w:val="00032608"/>
    <w:rsid w:val="000379D2"/>
    <w:rsid w:val="000450D6"/>
    <w:rsid w:val="00062818"/>
    <w:rsid w:val="00070529"/>
    <w:rsid w:val="000756C5"/>
    <w:rsid w:val="000770C3"/>
    <w:rsid w:val="0008262D"/>
    <w:rsid w:val="000872A1"/>
    <w:rsid w:val="0009576F"/>
    <w:rsid w:val="00097398"/>
    <w:rsid w:val="000A1874"/>
    <w:rsid w:val="000A44EC"/>
    <w:rsid w:val="000A69C0"/>
    <w:rsid w:val="000B2F70"/>
    <w:rsid w:val="000B409D"/>
    <w:rsid w:val="000C4182"/>
    <w:rsid w:val="000D6BEB"/>
    <w:rsid w:val="000F32EF"/>
    <w:rsid w:val="001002C2"/>
    <w:rsid w:val="00103ECF"/>
    <w:rsid w:val="00106E02"/>
    <w:rsid w:val="0010754E"/>
    <w:rsid w:val="00117617"/>
    <w:rsid w:val="00134220"/>
    <w:rsid w:val="00135569"/>
    <w:rsid w:val="00144769"/>
    <w:rsid w:val="00152F25"/>
    <w:rsid w:val="00164FC9"/>
    <w:rsid w:val="001654CB"/>
    <w:rsid w:val="001720B4"/>
    <w:rsid w:val="0017755A"/>
    <w:rsid w:val="00183FAD"/>
    <w:rsid w:val="0019191C"/>
    <w:rsid w:val="0019276B"/>
    <w:rsid w:val="00193911"/>
    <w:rsid w:val="00194969"/>
    <w:rsid w:val="001A16B6"/>
    <w:rsid w:val="001A2989"/>
    <w:rsid w:val="001A3E53"/>
    <w:rsid w:val="001B26C6"/>
    <w:rsid w:val="001B3A3F"/>
    <w:rsid w:val="001B4885"/>
    <w:rsid w:val="001B7873"/>
    <w:rsid w:val="001C1FBB"/>
    <w:rsid w:val="001C4CCA"/>
    <w:rsid w:val="001C7FD0"/>
    <w:rsid w:val="001D405F"/>
    <w:rsid w:val="001E2F48"/>
    <w:rsid w:val="001E7027"/>
    <w:rsid w:val="001F1025"/>
    <w:rsid w:val="001F50BD"/>
    <w:rsid w:val="001F6570"/>
    <w:rsid w:val="00201ED7"/>
    <w:rsid w:val="00204025"/>
    <w:rsid w:val="0021347D"/>
    <w:rsid w:val="00220C28"/>
    <w:rsid w:val="002227B8"/>
    <w:rsid w:val="00224197"/>
    <w:rsid w:val="00225F0E"/>
    <w:rsid w:val="00230A66"/>
    <w:rsid w:val="00231433"/>
    <w:rsid w:val="00232384"/>
    <w:rsid w:val="00233C59"/>
    <w:rsid w:val="0023507E"/>
    <w:rsid w:val="002402B2"/>
    <w:rsid w:val="00244008"/>
    <w:rsid w:val="0025000B"/>
    <w:rsid w:val="0025107B"/>
    <w:rsid w:val="00260F85"/>
    <w:rsid w:val="00270564"/>
    <w:rsid w:val="00273549"/>
    <w:rsid w:val="00276151"/>
    <w:rsid w:val="00281FF9"/>
    <w:rsid w:val="0029406F"/>
    <w:rsid w:val="00295455"/>
    <w:rsid w:val="002B139E"/>
    <w:rsid w:val="002D0BC2"/>
    <w:rsid w:val="002D224B"/>
    <w:rsid w:val="002E023E"/>
    <w:rsid w:val="002E0A1A"/>
    <w:rsid w:val="002E34EF"/>
    <w:rsid w:val="002E5779"/>
    <w:rsid w:val="002E7A1B"/>
    <w:rsid w:val="002F0860"/>
    <w:rsid w:val="002F2D5D"/>
    <w:rsid w:val="002F70DC"/>
    <w:rsid w:val="002F7A2B"/>
    <w:rsid w:val="00304765"/>
    <w:rsid w:val="00310786"/>
    <w:rsid w:val="00320F48"/>
    <w:rsid w:val="0033342E"/>
    <w:rsid w:val="00335E96"/>
    <w:rsid w:val="00346C18"/>
    <w:rsid w:val="003643DF"/>
    <w:rsid w:val="003814E5"/>
    <w:rsid w:val="0038159F"/>
    <w:rsid w:val="00383589"/>
    <w:rsid w:val="00387B59"/>
    <w:rsid w:val="003964BF"/>
    <w:rsid w:val="003A0997"/>
    <w:rsid w:val="003A1905"/>
    <w:rsid w:val="003A3033"/>
    <w:rsid w:val="003C66E9"/>
    <w:rsid w:val="003C6EA8"/>
    <w:rsid w:val="003D57A6"/>
    <w:rsid w:val="003D7F7B"/>
    <w:rsid w:val="003E7DC8"/>
    <w:rsid w:val="003F30C7"/>
    <w:rsid w:val="0040105B"/>
    <w:rsid w:val="00402EBA"/>
    <w:rsid w:val="00413E88"/>
    <w:rsid w:val="004179F0"/>
    <w:rsid w:val="00431413"/>
    <w:rsid w:val="00433296"/>
    <w:rsid w:val="004410F9"/>
    <w:rsid w:val="00443F55"/>
    <w:rsid w:val="004478E7"/>
    <w:rsid w:val="004546F5"/>
    <w:rsid w:val="00481A87"/>
    <w:rsid w:val="004847C6"/>
    <w:rsid w:val="00484B68"/>
    <w:rsid w:val="00487657"/>
    <w:rsid w:val="0049729A"/>
    <w:rsid w:val="004B62FA"/>
    <w:rsid w:val="004C2CAC"/>
    <w:rsid w:val="004D0982"/>
    <w:rsid w:val="004E020E"/>
    <w:rsid w:val="004E1DE1"/>
    <w:rsid w:val="004E2194"/>
    <w:rsid w:val="004E46FB"/>
    <w:rsid w:val="004E4853"/>
    <w:rsid w:val="004E7AA5"/>
    <w:rsid w:val="004F5DE2"/>
    <w:rsid w:val="0050314F"/>
    <w:rsid w:val="00503BEF"/>
    <w:rsid w:val="00507E59"/>
    <w:rsid w:val="00511D11"/>
    <w:rsid w:val="00513C53"/>
    <w:rsid w:val="00520961"/>
    <w:rsid w:val="00543F33"/>
    <w:rsid w:val="00554E33"/>
    <w:rsid w:val="00564C4F"/>
    <w:rsid w:val="00564FC9"/>
    <w:rsid w:val="005650F3"/>
    <w:rsid w:val="0057495B"/>
    <w:rsid w:val="00576B74"/>
    <w:rsid w:val="00583810"/>
    <w:rsid w:val="00584EBB"/>
    <w:rsid w:val="00590EB8"/>
    <w:rsid w:val="005A327A"/>
    <w:rsid w:val="005A45D4"/>
    <w:rsid w:val="005A6FA3"/>
    <w:rsid w:val="005C1FC7"/>
    <w:rsid w:val="005C4756"/>
    <w:rsid w:val="005D4413"/>
    <w:rsid w:val="005E1A21"/>
    <w:rsid w:val="005E3F6F"/>
    <w:rsid w:val="005E6115"/>
    <w:rsid w:val="005F1AD6"/>
    <w:rsid w:val="005F2C62"/>
    <w:rsid w:val="005F3AA4"/>
    <w:rsid w:val="005F6C4F"/>
    <w:rsid w:val="005F74D0"/>
    <w:rsid w:val="00603A64"/>
    <w:rsid w:val="0060444E"/>
    <w:rsid w:val="00620265"/>
    <w:rsid w:val="00620EEE"/>
    <w:rsid w:val="00622E76"/>
    <w:rsid w:val="00636C8E"/>
    <w:rsid w:val="00637742"/>
    <w:rsid w:val="00640167"/>
    <w:rsid w:val="006431A9"/>
    <w:rsid w:val="00654030"/>
    <w:rsid w:val="00660DD3"/>
    <w:rsid w:val="00666EFD"/>
    <w:rsid w:val="006700A7"/>
    <w:rsid w:val="00675ECE"/>
    <w:rsid w:val="006806A2"/>
    <w:rsid w:val="00681FB9"/>
    <w:rsid w:val="00686B89"/>
    <w:rsid w:val="00692258"/>
    <w:rsid w:val="006A0850"/>
    <w:rsid w:val="006C1137"/>
    <w:rsid w:val="006C485D"/>
    <w:rsid w:val="006C5F47"/>
    <w:rsid w:val="006C7758"/>
    <w:rsid w:val="006D06A9"/>
    <w:rsid w:val="006D2C49"/>
    <w:rsid w:val="006E2CE3"/>
    <w:rsid w:val="006E514F"/>
    <w:rsid w:val="006E7700"/>
    <w:rsid w:val="006F1193"/>
    <w:rsid w:val="006F50CB"/>
    <w:rsid w:val="00700FE5"/>
    <w:rsid w:val="00710682"/>
    <w:rsid w:val="00720C28"/>
    <w:rsid w:val="00721D21"/>
    <w:rsid w:val="007304EB"/>
    <w:rsid w:val="00736A8B"/>
    <w:rsid w:val="00744885"/>
    <w:rsid w:val="007544A8"/>
    <w:rsid w:val="0075565E"/>
    <w:rsid w:val="00756230"/>
    <w:rsid w:val="007601E3"/>
    <w:rsid w:val="00763AA9"/>
    <w:rsid w:val="00765109"/>
    <w:rsid w:val="007709D0"/>
    <w:rsid w:val="0077140A"/>
    <w:rsid w:val="00777B01"/>
    <w:rsid w:val="0078368F"/>
    <w:rsid w:val="00786F1E"/>
    <w:rsid w:val="007951E2"/>
    <w:rsid w:val="007A74D8"/>
    <w:rsid w:val="007B1A2A"/>
    <w:rsid w:val="007B3206"/>
    <w:rsid w:val="007B3FDF"/>
    <w:rsid w:val="007B5577"/>
    <w:rsid w:val="007B726B"/>
    <w:rsid w:val="007C28B2"/>
    <w:rsid w:val="007C61F6"/>
    <w:rsid w:val="007C65EB"/>
    <w:rsid w:val="007D0741"/>
    <w:rsid w:val="007D45E2"/>
    <w:rsid w:val="007D791F"/>
    <w:rsid w:val="007D7C9E"/>
    <w:rsid w:val="007D7FA6"/>
    <w:rsid w:val="007E0055"/>
    <w:rsid w:val="007E5496"/>
    <w:rsid w:val="007E769F"/>
    <w:rsid w:val="007F289E"/>
    <w:rsid w:val="007F3C61"/>
    <w:rsid w:val="00804897"/>
    <w:rsid w:val="00807267"/>
    <w:rsid w:val="008115C9"/>
    <w:rsid w:val="00811B68"/>
    <w:rsid w:val="008131CE"/>
    <w:rsid w:val="00814AC2"/>
    <w:rsid w:val="008210CA"/>
    <w:rsid w:val="00821FFF"/>
    <w:rsid w:val="00834EFA"/>
    <w:rsid w:val="00835621"/>
    <w:rsid w:val="00853045"/>
    <w:rsid w:val="00855C0C"/>
    <w:rsid w:val="0085781C"/>
    <w:rsid w:val="00864DDD"/>
    <w:rsid w:val="00864F1D"/>
    <w:rsid w:val="00865840"/>
    <w:rsid w:val="00866657"/>
    <w:rsid w:val="00876296"/>
    <w:rsid w:val="0088640D"/>
    <w:rsid w:val="00893B68"/>
    <w:rsid w:val="00897AB4"/>
    <w:rsid w:val="008B3A0D"/>
    <w:rsid w:val="008B7BBB"/>
    <w:rsid w:val="008C11C9"/>
    <w:rsid w:val="008C5E37"/>
    <w:rsid w:val="008C7EE4"/>
    <w:rsid w:val="008D402F"/>
    <w:rsid w:val="008D4655"/>
    <w:rsid w:val="008D6BAC"/>
    <w:rsid w:val="0090230F"/>
    <w:rsid w:val="00905644"/>
    <w:rsid w:val="0090725D"/>
    <w:rsid w:val="00912951"/>
    <w:rsid w:val="009144E9"/>
    <w:rsid w:val="00916795"/>
    <w:rsid w:val="00923D4A"/>
    <w:rsid w:val="009346CA"/>
    <w:rsid w:val="009436AB"/>
    <w:rsid w:val="009443E9"/>
    <w:rsid w:val="00954862"/>
    <w:rsid w:val="00963229"/>
    <w:rsid w:val="009805F7"/>
    <w:rsid w:val="00980EE9"/>
    <w:rsid w:val="0098154C"/>
    <w:rsid w:val="009877DB"/>
    <w:rsid w:val="00997A0F"/>
    <w:rsid w:val="009A191D"/>
    <w:rsid w:val="009A1C1F"/>
    <w:rsid w:val="009A260E"/>
    <w:rsid w:val="009A419F"/>
    <w:rsid w:val="009C4F21"/>
    <w:rsid w:val="009D3D01"/>
    <w:rsid w:val="009D5656"/>
    <w:rsid w:val="009E1488"/>
    <w:rsid w:val="009F10FB"/>
    <w:rsid w:val="009F547D"/>
    <w:rsid w:val="00A02D5B"/>
    <w:rsid w:val="00A108CA"/>
    <w:rsid w:val="00A13772"/>
    <w:rsid w:val="00A17E36"/>
    <w:rsid w:val="00A249FD"/>
    <w:rsid w:val="00A27023"/>
    <w:rsid w:val="00A47CCB"/>
    <w:rsid w:val="00A53E21"/>
    <w:rsid w:val="00A5410E"/>
    <w:rsid w:val="00A56BA5"/>
    <w:rsid w:val="00A64814"/>
    <w:rsid w:val="00A717C1"/>
    <w:rsid w:val="00A83C07"/>
    <w:rsid w:val="00A8653E"/>
    <w:rsid w:val="00A92B48"/>
    <w:rsid w:val="00AB0377"/>
    <w:rsid w:val="00AB5F73"/>
    <w:rsid w:val="00AD16BE"/>
    <w:rsid w:val="00AD7079"/>
    <w:rsid w:val="00AE1189"/>
    <w:rsid w:val="00AE367E"/>
    <w:rsid w:val="00AF1202"/>
    <w:rsid w:val="00B00EEA"/>
    <w:rsid w:val="00B0282E"/>
    <w:rsid w:val="00B12809"/>
    <w:rsid w:val="00B330F9"/>
    <w:rsid w:val="00B401A2"/>
    <w:rsid w:val="00B42C01"/>
    <w:rsid w:val="00B54D70"/>
    <w:rsid w:val="00B56C83"/>
    <w:rsid w:val="00B671DF"/>
    <w:rsid w:val="00B72EDD"/>
    <w:rsid w:val="00B7794F"/>
    <w:rsid w:val="00B81E4B"/>
    <w:rsid w:val="00B93047"/>
    <w:rsid w:val="00BA1B78"/>
    <w:rsid w:val="00BA1EBF"/>
    <w:rsid w:val="00BA200F"/>
    <w:rsid w:val="00BA3214"/>
    <w:rsid w:val="00BB55D3"/>
    <w:rsid w:val="00BC1627"/>
    <w:rsid w:val="00BC65D0"/>
    <w:rsid w:val="00BF1389"/>
    <w:rsid w:val="00BF7CC4"/>
    <w:rsid w:val="00C03D75"/>
    <w:rsid w:val="00C130E1"/>
    <w:rsid w:val="00C25DA5"/>
    <w:rsid w:val="00C26A28"/>
    <w:rsid w:val="00C37A5C"/>
    <w:rsid w:val="00C41DED"/>
    <w:rsid w:val="00C52447"/>
    <w:rsid w:val="00C62FA2"/>
    <w:rsid w:val="00C6681E"/>
    <w:rsid w:val="00C773F1"/>
    <w:rsid w:val="00C83277"/>
    <w:rsid w:val="00C87B46"/>
    <w:rsid w:val="00C9198F"/>
    <w:rsid w:val="00CA3098"/>
    <w:rsid w:val="00CB497B"/>
    <w:rsid w:val="00CB49D9"/>
    <w:rsid w:val="00CB4F64"/>
    <w:rsid w:val="00CB6612"/>
    <w:rsid w:val="00CC381C"/>
    <w:rsid w:val="00CC65CA"/>
    <w:rsid w:val="00CD09BD"/>
    <w:rsid w:val="00CE127E"/>
    <w:rsid w:val="00CE1AED"/>
    <w:rsid w:val="00CF5770"/>
    <w:rsid w:val="00CF6301"/>
    <w:rsid w:val="00D00823"/>
    <w:rsid w:val="00D1659D"/>
    <w:rsid w:val="00D210AC"/>
    <w:rsid w:val="00D22060"/>
    <w:rsid w:val="00D237AD"/>
    <w:rsid w:val="00D23F88"/>
    <w:rsid w:val="00D25C85"/>
    <w:rsid w:val="00D3203E"/>
    <w:rsid w:val="00D32B4B"/>
    <w:rsid w:val="00D34AAD"/>
    <w:rsid w:val="00D3729A"/>
    <w:rsid w:val="00D40BD8"/>
    <w:rsid w:val="00D4400E"/>
    <w:rsid w:val="00D519C2"/>
    <w:rsid w:val="00D52D96"/>
    <w:rsid w:val="00D6187A"/>
    <w:rsid w:val="00D64021"/>
    <w:rsid w:val="00D67625"/>
    <w:rsid w:val="00D74E1E"/>
    <w:rsid w:val="00D76776"/>
    <w:rsid w:val="00D7752E"/>
    <w:rsid w:val="00D8178C"/>
    <w:rsid w:val="00D852CB"/>
    <w:rsid w:val="00D913F7"/>
    <w:rsid w:val="00DA585B"/>
    <w:rsid w:val="00DD33FA"/>
    <w:rsid w:val="00DD3612"/>
    <w:rsid w:val="00DE251D"/>
    <w:rsid w:val="00DF45D5"/>
    <w:rsid w:val="00DF4911"/>
    <w:rsid w:val="00E01024"/>
    <w:rsid w:val="00E0696B"/>
    <w:rsid w:val="00E26E33"/>
    <w:rsid w:val="00E322ED"/>
    <w:rsid w:val="00E33744"/>
    <w:rsid w:val="00E33765"/>
    <w:rsid w:val="00E42622"/>
    <w:rsid w:val="00E46758"/>
    <w:rsid w:val="00E57B76"/>
    <w:rsid w:val="00E60700"/>
    <w:rsid w:val="00E619B2"/>
    <w:rsid w:val="00E6394C"/>
    <w:rsid w:val="00E67F11"/>
    <w:rsid w:val="00E72C84"/>
    <w:rsid w:val="00E8089E"/>
    <w:rsid w:val="00E83AC8"/>
    <w:rsid w:val="00E84AC2"/>
    <w:rsid w:val="00E8783A"/>
    <w:rsid w:val="00E92970"/>
    <w:rsid w:val="00E93F77"/>
    <w:rsid w:val="00E97525"/>
    <w:rsid w:val="00EA2246"/>
    <w:rsid w:val="00EA3160"/>
    <w:rsid w:val="00EB7E43"/>
    <w:rsid w:val="00EC06DE"/>
    <w:rsid w:val="00EC41EC"/>
    <w:rsid w:val="00EC5C7C"/>
    <w:rsid w:val="00ED55F1"/>
    <w:rsid w:val="00EE359B"/>
    <w:rsid w:val="00EE5036"/>
    <w:rsid w:val="00F007E1"/>
    <w:rsid w:val="00F01A06"/>
    <w:rsid w:val="00F03335"/>
    <w:rsid w:val="00F204F4"/>
    <w:rsid w:val="00F27F5E"/>
    <w:rsid w:val="00F317F6"/>
    <w:rsid w:val="00F42FD8"/>
    <w:rsid w:val="00F44B0C"/>
    <w:rsid w:val="00F520FD"/>
    <w:rsid w:val="00F52152"/>
    <w:rsid w:val="00F521A5"/>
    <w:rsid w:val="00F521E2"/>
    <w:rsid w:val="00F54383"/>
    <w:rsid w:val="00F56F9C"/>
    <w:rsid w:val="00F61EBD"/>
    <w:rsid w:val="00F622FE"/>
    <w:rsid w:val="00F64BD3"/>
    <w:rsid w:val="00F74B3F"/>
    <w:rsid w:val="00F81662"/>
    <w:rsid w:val="00F831E1"/>
    <w:rsid w:val="00F94AFA"/>
    <w:rsid w:val="00FA467D"/>
    <w:rsid w:val="00FB32C8"/>
    <w:rsid w:val="00FB3FBF"/>
    <w:rsid w:val="00FB7FCD"/>
    <w:rsid w:val="00FC1F69"/>
    <w:rsid w:val="00FC5E20"/>
    <w:rsid w:val="00FC699E"/>
    <w:rsid w:val="00FD4AD0"/>
    <w:rsid w:val="00FD505A"/>
    <w:rsid w:val="00FD5FA8"/>
    <w:rsid w:val="00FE3DC3"/>
    <w:rsid w:val="00FE3EB0"/>
    <w:rsid w:val="00FF01BD"/>
    <w:rsid w:val="00FF02B6"/>
    <w:rsid w:val="00FF0E9D"/>
    <w:rsid w:val="00FF49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3D0FDE"/>
  <w14:defaultImageDpi w14:val="0"/>
  <w15:docId w15:val="{D5F85FF3-A427-489B-997F-57B55C87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D8"/>
    <w:pPr>
      <w:spacing w:after="160" w:line="259" w:lineRule="auto"/>
    </w:pPr>
    <w:rPr>
      <w:color w:val="1F3864"/>
      <w:sz w:val="22"/>
      <w:szCs w:val="22"/>
    </w:rPr>
  </w:style>
  <w:style w:type="paragraph" w:styleId="Heading1">
    <w:name w:val="heading 1"/>
    <w:basedOn w:val="Normal"/>
    <w:next w:val="Normal"/>
    <w:link w:val="Heading1Char"/>
    <w:uiPriority w:val="9"/>
    <w:qFormat/>
    <w:rsid w:val="00E33744"/>
    <w:pPr>
      <w:keepNext/>
      <w:numPr>
        <w:numId w:val="4"/>
      </w:numPr>
      <w:spacing w:before="240" w:after="60"/>
      <w:outlineLvl w:val="0"/>
    </w:pPr>
    <w:rPr>
      <w:rFonts w:ascii="Arial Bold" w:hAnsi="Arial Bold"/>
      <w:b/>
      <w:bCs/>
      <w:kern w:val="32"/>
      <w:sz w:val="32"/>
      <w:szCs w:val="32"/>
    </w:rPr>
  </w:style>
  <w:style w:type="paragraph" w:styleId="Heading2">
    <w:name w:val="heading 2"/>
    <w:basedOn w:val="Normal"/>
    <w:next w:val="Normal"/>
    <w:link w:val="Heading2Char"/>
    <w:uiPriority w:val="9"/>
    <w:unhideWhenUsed/>
    <w:qFormat/>
    <w:rsid w:val="00E3374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FB7FCD"/>
    <w:pPr>
      <w:keepNext/>
      <w:spacing w:before="240" w:after="60"/>
      <w:outlineLvl w:val="2"/>
    </w:pPr>
    <w:rPr>
      <w:rFonts w:ascii="Calibri Light" w:hAnsi="Calibri Light"/>
      <w:b/>
      <w:bCs/>
      <w:sz w:val="26"/>
      <w:szCs w:val="26"/>
    </w:rPr>
  </w:style>
  <w:style w:type="paragraph" w:styleId="Heading9">
    <w:name w:val="heading 9"/>
    <w:basedOn w:val="Normal"/>
    <w:next w:val="Normal"/>
    <w:link w:val="Heading9Char"/>
    <w:uiPriority w:val="1"/>
    <w:rsid w:val="009877DB"/>
    <w:pPr>
      <w:keepNext/>
      <w:keepLines/>
      <w:spacing w:before="200" w:after="0" w:line="300" w:lineRule="auto"/>
      <w:jc w:val="both"/>
      <w:outlineLvl w:val="8"/>
    </w:pPr>
    <w:rPr>
      <w:rFonts w:ascii="Arial" w:hAnsi="Arial"/>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44"/>
    <w:rPr>
      <w:rFonts w:ascii="Arial Bold" w:hAnsi="Arial Bold"/>
      <w:b/>
      <w:bCs/>
      <w:color w:val="1F3864"/>
      <w:kern w:val="32"/>
      <w:sz w:val="32"/>
      <w:szCs w:val="32"/>
    </w:rPr>
  </w:style>
  <w:style w:type="character" w:customStyle="1" w:styleId="Heading2Char">
    <w:name w:val="Heading 2 Char"/>
    <w:link w:val="Heading2"/>
    <w:uiPriority w:val="9"/>
    <w:rsid w:val="00E33744"/>
    <w:rPr>
      <w:rFonts w:ascii="Calibri Light" w:eastAsia="Times New Roman" w:hAnsi="Calibri Light" w:cs="Times New Roman"/>
      <w:b/>
      <w:bCs/>
      <w:i/>
      <w:iCs/>
      <w:color w:val="1F3864"/>
      <w:sz w:val="28"/>
      <w:szCs w:val="28"/>
    </w:rPr>
  </w:style>
  <w:style w:type="paragraph" w:styleId="Header">
    <w:name w:val="header"/>
    <w:basedOn w:val="Normal"/>
    <w:link w:val="HeaderChar"/>
    <w:uiPriority w:val="99"/>
    <w:unhideWhenUsed/>
    <w:rsid w:val="00062818"/>
    <w:pPr>
      <w:tabs>
        <w:tab w:val="center" w:pos="4513"/>
        <w:tab w:val="right" w:pos="9026"/>
      </w:tabs>
    </w:pPr>
  </w:style>
  <w:style w:type="character" w:customStyle="1" w:styleId="HeaderChar">
    <w:name w:val="Header Char"/>
    <w:link w:val="Header"/>
    <w:uiPriority w:val="99"/>
    <w:rsid w:val="00062818"/>
    <w:rPr>
      <w:sz w:val="22"/>
      <w:szCs w:val="22"/>
    </w:rPr>
  </w:style>
  <w:style w:type="paragraph" w:styleId="Footer">
    <w:name w:val="footer"/>
    <w:basedOn w:val="Normal"/>
    <w:link w:val="FooterChar"/>
    <w:uiPriority w:val="99"/>
    <w:unhideWhenUsed/>
    <w:rsid w:val="00062818"/>
    <w:pPr>
      <w:tabs>
        <w:tab w:val="center" w:pos="4513"/>
        <w:tab w:val="right" w:pos="9026"/>
      </w:tabs>
    </w:pPr>
  </w:style>
  <w:style w:type="character" w:customStyle="1" w:styleId="FooterChar">
    <w:name w:val="Footer Char"/>
    <w:link w:val="Footer"/>
    <w:uiPriority w:val="99"/>
    <w:rsid w:val="00062818"/>
    <w:rPr>
      <w:sz w:val="22"/>
      <w:szCs w:val="22"/>
    </w:rPr>
  </w:style>
  <w:style w:type="paragraph" w:styleId="TOCHeading">
    <w:name w:val="TOC Heading"/>
    <w:basedOn w:val="Heading1"/>
    <w:next w:val="Normal"/>
    <w:uiPriority w:val="39"/>
    <w:unhideWhenUsed/>
    <w:qFormat/>
    <w:rsid w:val="003A3033"/>
    <w:pPr>
      <w:keepLines/>
      <w:spacing w:after="0"/>
      <w:outlineLvl w:val="9"/>
    </w:pPr>
    <w:rPr>
      <w:b w:val="0"/>
      <w:bCs w:val="0"/>
      <w:color w:val="2E74B5"/>
      <w:kern w:val="0"/>
      <w:lang w:val="en-US" w:eastAsia="en-US"/>
    </w:rPr>
  </w:style>
  <w:style w:type="table" w:styleId="TableGrid">
    <w:name w:val="Table Grid"/>
    <w:basedOn w:val="TableNormal"/>
    <w:uiPriority w:val="39"/>
    <w:rsid w:val="003A3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368F"/>
    <w:rPr>
      <w:color w:val="0563C1"/>
      <w:u w:val="single"/>
    </w:rPr>
  </w:style>
  <w:style w:type="paragraph" w:styleId="TOC1">
    <w:name w:val="toc 1"/>
    <w:basedOn w:val="Normal"/>
    <w:next w:val="Normal"/>
    <w:autoRedefine/>
    <w:uiPriority w:val="39"/>
    <w:unhideWhenUsed/>
    <w:rsid w:val="00654030"/>
  </w:style>
  <w:style w:type="paragraph" w:styleId="TOC2">
    <w:name w:val="toc 2"/>
    <w:basedOn w:val="Normal"/>
    <w:next w:val="Normal"/>
    <w:autoRedefine/>
    <w:uiPriority w:val="39"/>
    <w:unhideWhenUsed/>
    <w:rsid w:val="008131CE"/>
    <w:pPr>
      <w:ind w:left="220"/>
    </w:pPr>
  </w:style>
  <w:style w:type="paragraph" w:styleId="BodyText">
    <w:name w:val="Body Text"/>
    <w:basedOn w:val="Normal"/>
    <w:link w:val="BodyTextChar"/>
    <w:uiPriority w:val="99"/>
    <w:rsid w:val="0025000B"/>
    <w:pPr>
      <w:spacing w:before="400" w:after="0" w:line="240" w:lineRule="auto"/>
    </w:pPr>
    <w:rPr>
      <w:rFonts w:ascii="Arial" w:hAnsi="Arial"/>
      <w:b/>
      <w:i/>
      <w:color w:val="auto"/>
      <w:sz w:val="18"/>
      <w:szCs w:val="20"/>
      <w:lang w:eastAsia="en-US"/>
    </w:rPr>
  </w:style>
  <w:style w:type="character" w:customStyle="1" w:styleId="BodyTextChar">
    <w:name w:val="Body Text Char"/>
    <w:link w:val="BodyText"/>
    <w:uiPriority w:val="99"/>
    <w:rsid w:val="0025000B"/>
    <w:rPr>
      <w:rFonts w:ascii="Arial" w:hAnsi="Arial"/>
      <w:b/>
      <w:i/>
      <w:sz w:val="18"/>
      <w:lang w:eastAsia="en-US"/>
    </w:rPr>
  </w:style>
  <w:style w:type="paragraph" w:customStyle="1" w:styleId="TableTitle">
    <w:name w:val="Table Title"/>
    <w:basedOn w:val="Normal"/>
    <w:rsid w:val="0025000B"/>
    <w:pPr>
      <w:spacing w:after="0" w:line="240" w:lineRule="auto"/>
    </w:pPr>
    <w:rPr>
      <w:rFonts w:ascii="Arial" w:hAnsi="Arial" w:cs="Arial"/>
      <w:b/>
      <w:bCs/>
      <w:color w:val="auto"/>
      <w:sz w:val="20"/>
      <w:szCs w:val="24"/>
      <w:lang w:eastAsia="en-US"/>
    </w:rPr>
  </w:style>
  <w:style w:type="paragraph" w:styleId="BalloonText">
    <w:name w:val="Balloon Text"/>
    <w:basedOn w:val="Normal"/>
    <w:link w:val="BalloonTextChar"/>
    <w:uiPriority w:val="99"/>
    <w:semiHidden/>
    <w:unhideWhenUsed/>
    <w:rsid w:val="002227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27B8"/>
    <w:rPr>
      <w:rFonts w:ascii="Segoe UI" w:hAnsi="Segoe UI" w:cs="Segoe UI"/>
      <w:color w:val="1F3864"/>
      <w:sz w:val="18"/>
      <w:szCs w:val="18"/>
    </w:rPr>
  </w:style>
  <w:style w:type="character" w:customStyle="1" w:styleId="Heading9Char">
    <w:name w:val="Heading 9 Char"/>
    <w:link w:val="Heading9"/>
    <w:uiPriority w:val="1"/>
    <w:rsid w:val="009877DB"/>
    <w:rPr>
      <w:rFonts w:ascii="Arial" w:hAnsi="Arial"/>
      <w:i/>
      <w:iCs/>
      <w:color w:val="404040"/>
      <w:lang w:eastAsia="en-US"/>
    </w:rPr>
  </w:style>
  <w:style w:type="paragraph" w:styleId="BodyTextIndent">
    <w:name w:val="Body Text Indent"/>
    <w:basedOn w:val="Normal"/>
    <w:link w:val="BodyTextIndentChar"/>
    <w:uiPriority w:val="99"/>
    <w:unhideWhenUsed/>
    <w:rsid w:val="009877DB"/>
    <w:pPr>
      <w:spacing w:after="120" w:line="300" w:lineRule="auto"/>
      <w:ind w:left="283"/>
      <w:jc w:val="both"/>
    </w:pPr>
    <w:rPr>
      <w:rFonts w:ascii="Arial" w:eastAsia="Calibri" w:hAnsi="Arial"/>
      <w:color w:val="auto"/>
      <w:sz w:val="20"/>
      <w:szCs w:val="24"/>
      <w:lang w:eastAsia="en-US"/>
    </w:rPr>
  </w:style>
  <w:style w:type="character" w:customStyle="1" w:styleId="BodyTextIndentChar">
    <w:name w:val="Body Text Indent Char"/>
    <w:link w:val="BodyTextIndent"/>
    <w:uiPriority w:val="99"/>
    <w:rsid w:val="009877DB"/>
    <w:rPr>
      <w:rFonts w:ascii="Arial" w:eastAsia="Calibri" w:hAnsi="Arial"/>
      <w:szCs w:val="24"/>
      <w:lang w:eastAsia="en-US"/>
    </w:rPr>
  </w:style>
  <w:style w:type="character" w:styleId="CommentReference">
    <w:name w:val="annotation reference"/>
    <w:uiPriority w:val="99"/>
    <w:semiHidden/>
    <w:unhideWhenUsed/>
    <w:rsid w:val="00204025"/>
    <w:rPr>
      <w:sz w:val="16"/>
      <w:szCs w:val="16"/>
    </w:rPr>
  </w:style>
  <w:style w:type="paragraph" w:styleId="CommentText">
    <w:name w:val="annotation text"/>
    <w:basedOn w:val="Normal"/>
    <w:link w:val="CommentTextChar"/>
    <w:uiPriority w:val="99"/>
    <w:semiHidden/>
    <w:unhideWhenUsed/>
    <w:rsid w:val="00204025"/>
    <w:rPr>
      <w:sz w:val="20"/>
      <w:szCs w:val="20"/>
    </w:rPr>
  </w:style>
  <w:style w:type="character" w:customStyle="1" w:styleId="CommentTextChar">
    <w:name w:val="Comment Text Char"/>
    <w:link w:val="CommentText"/>
    <w:uiPriority w:val="99"/>
    <w:semiHidden/>
    <w:rsid w:val="00204025"/>
    <w:rPr>
      <w:color w:val="1F3864"/>
    </w:rPr>
  </w:style>
  <w:style w:type="paragraph" w:styleId="CommentSubject">
    <w:name w:val="annotation subject"/>
    <w:basedOn w:val="CommentText"/>
    <w:next w:val="CommentText"/>
    <w:link w:val="CommentSubjectChar"/>
    <w:uiPriority w:val="99"/>
    <w:semiHidden/>
    <w:unhideWhenUsed/>
    <w:rsid w:val="00204025"/>
    <w:rPr>
      <w:b/>
      <w:bCs/>
    </w:rPr>
  </w:style>
  <w:style w:type="character" w:customStyle="1" w:styleId="CommentSubjectChar">
    <w:name w:val="Comment Subject Char"/>
    <w:link w:val="CommentSubject"/>
    <w:uiPriority w:val="99"/>
    <w:semiHidden/>
    <w:rsid w:val="00204025"/>
    <w:rPr>
      <w:b/>
      <w:bCs/>
      <w:color w:val="1F3864"/>
    </w:rPr>
  </w:style>
  <w:style w:type="character" w:customStyle="1" w:styleId="Heading3Char">
    <w:name w:val="Heading 3 Char"/>
    <w:link w:val="Heading3"/>
    <w:uiPriority w:val="9"/>
    <w:semiHidden/>
    <w:rsid w:val="00FB7FCD"/>
    <w:rPr>
      <w:rFonts w:ascii="Calibri Light" w:eastAsia="Times New Roman" w:hAnsi="Calibri Light" w:cs="Times New Roman"/>
      <w:b/>
      <w:bCs/>
      <w:color w:val="1F3864"/>
      <w:sz w:val="26"/>
      <w:szCs w:val="26"/>
    </w:rPr>
  </w:style>
  <w:style w:type="paragraph" w:styleId="ListBullet">
    <w:name w:val="List Bullet"/>
    <w:basedOn w:val="BodyText"/>
    <w:qFormat/>
    <w:rsid w:val="00D00823"/>
    <w:pPr>
      <w:numPr>
        <w:numId w:val="10"/>
      </w:numPr>
      <w:spacing w:before="0" w:after="60" w:line="240" w:lineRule="atLeast"/>
      <w:ind w:left="426" w:hanging="284"/>
    </w:pPr>
    <w:rPr>
      <w:rFonts w:eastAsia="Calibri"/>
      <w:b w:val="0"/>
      <w:i w:val="0"/>
      <w:sz w:val="20"/>
      <w:szCs w:val="24"/>
    </w:rPr>
  </w:style>
  <w:style w:type="paragraph" w:styleId="ListBullet2">
    <w:name w:val="List Bullet 2"/>
    <w:basedOn w:val="Normal"/>
    <w:qFormat/>
    <w:rsid w:val="00D00823"/>
    <w:pPr>
      <w:numPr>
        <w:ilvl w:val="1"/>
        <w:numId w:val="10"/>
      </w:numPr>
      <w:spacing w:after="60" w:line="240" w:lineRule="atLeast"/>
    </w:pPr>
    <w:rPr>
      <w:rFonts w:ascii="Arial" w:eastAsia="Calibri" w:hAnsi="Arial"/>
      <w:color w:val="auto"/>
      <w:sz w:val="18"/>
      <w:szCs w:val="24"/>
      <w:lang w:eastAsia="en-US"/>
    </w:rPr>
  </w:style>
  <w:style w:type="paragraph" w:styleId="ListBullet3">
    <w:name w:val="List Bullet 3"/>
    <w:basedOn w:val="Normal"/>
    <w:rsid w:val="00D00823"/>
    <w:pPr>
      <w:numPr>
        <w:ilvl w:val="2"/>
        <w:numId w:val="10"/>
      </w:numPr>
      <w:spacing w:after="60" w:line="240" w:lineRule="atLeast"/>
      <w:ind w:left="993" w:hanging="284"/>
    </w:pPr>
    <w:rPr>
      <w:rFonts w:ascii="Arial" w:eastAsia="Calibri" w:hAnsi="Arial"/>
      <w:color w:val="auto"/>
      <w:sz w:val="18"/>
      <w:szCs w:val="24"/>
      <w:lang w:eastAsia="en-US"/>
    </w:rPr>
  </w:style>
  <w:style w:type="paragraph" w:styleId="ListParagraph">
    <w:name w:val="List Paragraph"/>
    <w:basedOn w:val="Normal"/>
    <w:uiPriority w:val="34"/>
    <w:qFormat/>
    <w:rsid w:val="00F52152"/>
    <w:pPr>
      <w:spacing w:after="240" w:line="300" w:lineRule="auto"/>
      <w:ind w:left="720"/>
      <w:contextualSpacing/>
      <w:jc w:val="both"/>
    </w:pPr>
    <w:rPr>
      <w:rFonts w:ascii="Arial" w:eastAsia="Calibri" w:hAnsi="Arial"/>
      <w:color w:val="auto"/>
      <w:sz w:val="20"/>
      <w:szCs w:val="24"/>
      <w:lang w:eastAsia="en-US"/>
    </w:rPr>
  </w:style>
  <w:style w:type="paragraph" w:customStyle="1" w:styleId="Lista">
    <w:name w:val="List (a)"/>
    <w:basedOn w:val="Normal"/>
    <w:qFormat/>
    <w:rsid w:val="00FB32C8"/>
    <w:pPr>
      <w:numPr>
        <w:ilvl w:val="1"/>
        <w:numId w:val="37"/>
      </w:numPr>
      <w:tabs>
        <w:tab w:val="clear" w:pos="1276"/>
      </w:tabs>
      <w:spacing w:after="120" w:line="240" w:lineRule="auto"/>
      <w:ind w:left="1440" w:hanging="360"/>
    </w:pPr>
    <w:rPr>
      <w:rFonts w:ascii="Segoe UI Semilight" w:eastAsia="Segoe UI Semilight" w:hAnsi="Segoe UI Semilight"/>
      <w:color w:val="auto"/>
      <w:sz w:val="20"/>
      <w:lang w:eastAsia="en-US"/>
    </w:rPr>
  </w:style>
  <w:style w:type="paragraph" w:customStyle="1" w:styleId="Listi">
    <w:name w:val="List (i)"/>
    <w:basedOn w:val="Normal"/>
    <w:uiPriority w:val="1"/>
    <w:qFormat/>
    <w:rsid w:val="00FB32C8"/>
    <w:pPr>
      <w:numPr>
        <w:ilvl w:val="2"/>
        <w:numId w:val="37"/>
      </w:numPr>
      <w:tabs>
        <w:tab w:val="clear" w:pos="1843"/>
      </w:tabs>
      <w:spacing w:after="120" w:line="240" w:lineRule="auto"/>
      <w:ind w:left="2160" w:hanging="180"/>
    </w:pPr>
    <w:rPr>
      <w:rFonts w:ascii="Segoe UI Semilight" w:eastAsia="Segoe UI Semilight" w:hAnsi="Segoe UI Semilight"/>
      <w:color w:val="auto"/>
      <w:sz w:val="20"/>
      <w:lang w:eastAsia="en-US"/>
    </w:rPr>
  </w:style>
  <w:style w:type="paragraph" w:customStyle="1" w:styleId="ListA0">
    <w:name w:val="List (A)"/>
    <w:basedOn w:val="Normal"/>
    <w:uiPriority w:val="2"/>
    <w:qFormat/>
    <w:rsid w:val="00FB32C8"/>
    <w:pPr>
      <w:numPr>
        <w:ilvl w:val="3"/>
        <w:numId w:val="37"/>
      </w:numPr>
      <w:tabs>
        <w:tab w:val="clear" w:pos="1843"/>
      </w:tabs>
      <w:spacing w:after="120" w:line="240" w:lineRule="auto"/>
      <w:ind w:left="2880" w:hanging="360"/>
    </w:pPr>
    <w:rPr>
      <w:rFonts w:ascii="Segoe UI Semilight" w:eastAsia="Segoe UI Semilight" w:hAnsi="Segoe UI Semilight"/>
      <w:color w:val="auto"/>
      <w:sz w:val="20"/>
      <w:lang w:eastAsia="en-US"/>
    </w:rPr>
  </w:style>
  <w:style w:type="paragraph" w:customStyle="1" w:styleId="ResetPara">
    <w:name w:val="ResetPara"/>
    <w:next w:val="BodyText"/>
    <w:uiPriority w:val="99"/>
    <w:qFormat/>
    <w:rsid w:val="00FB32C8"/>
    <w:pPr>
      <w:keepNext/>
      <w:numPr>
        <w:numId w:val="37"/>
      </w:numPr>
      <w:ind w:left="720" w:hanging="360"/>
    </w:pPr>
    <w:rPr>
      <w:rFonts w:ascii="Segoe UI Semilight" w:hAnsi="Segoe UI Semilight"/>
      <w:color w:val="FF0000"/>
      <w:sz w:val="8"/>
      <w:szCs w:val="32"/>
      <w:lang w:eastAsia="en-US"/>
    </w:rPr>
  </w:style>
  <w:style w:type="paragraph" w:customStyle="1" w:styleId="TableText">
    <w:name w:val="Table Text"/>
    <w:uiPriority w:val="5"/>
    <w:qFormat/>
    <w:rsid w:val="00B42C01"/>
    <w:pPr>
      <w:spacing w:before="40" w:after="40" w:line="259" w:lineRule="auto"/>
    </w:pPr>
    <w:rPr>
      <w:rFonts w:ascii="Segoe UI Semilight" w:eastAsia="Segoe UI Semilight" w:hAnsi="Segoe UI Semilight"/>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368069994">
      <w:bodyDiv w:val="1"/>
      <w:marLeft w:val="0"/>
      <w:marRight w:val="0"/>
      <w:marTop w:val="0"/>
      <w:marBottom w:val="0"/>
      <w:divBdr>
        <w:top w:val="none" w:sz="0" w:space="0" w:color="auto"/>
        <w:left w:val="none" w:sz="0" w:space="0" w:color="auto"/>
        <w:bottom w:val="none" w:sz="0" w:space="0" w:color="auto"/>
        <w:right w:val="none" w:sz="0" w:space="0" w:color="auto"/>
      </w:divBdr>
    </w:div>
    <w:div w:id="599992831">
      <w:bodyDiv w:val="1"/>
      <w:marLeft w:val="0"/>
      <w:marRight w:val="0"/>
      <w:marTop w:val="0"/>
      <w:marBottom w:val="0"/>
      <w:divBdr>
        <w:top w:val="none" w:sz="0" w:space="0" w:color="auto"/>
        <w:left w:val="none" w:sz="0" w:space="0" w:color="auto"/>
        <w:bottom w:val="none" w:sz="0" w:space="0" w:color="auto"/>
        <w:right w:val="none" w:sz="0" w:space="0" w:color="auto"/>
      </w:divBdr>
    </w:div>
    <w:div w:id="627707731">
      <w:bodyDiv w:val="1"/>
      <w:marLeft w:val="0"/>
      <w:marRight w:val="0"/>
      <w:marTop w:val="0"/>
      <w:marBottom w:val="0"/>
      <w:divBdr>
        <w:top w:val="none" w:sz="0" w:space="0" w:color="auto"/>
        <w:left w:val="none" w:sz="0" w:space="0" w:color="auto"/>
        <w:bottom w:val="none" w:sz="0" w:space="0" w:color="auto"/>
        <w:right w:val="none" w:sz="0" w:space="0" w:color="auto"/>
      </w:divBdr>
    </w:div>
    <w:div w:id="715199521">
      <w:bodyDiv w:val="1"/>
      <w:marLeft w:val="0"/>
      <w:marRight w:val="0"/>
      <w:marTop w:val="0"/>
      <w:marBottom w:val="0"/>
      <w:divBdr>
        <w:top w:val="none" w:sz="0" w:space="0" w:color="auto"/>
        <w:left w:val="none" w:sz="0" w:space="0" w:color="auto"/>
        <w:bottom w:val="none" w:sz="0" w:space="0" w:color="auto"/>
        <w:right w:val="none" w:sz="0" w:space="0" w:color="auto"/>
      </w:divBdr>
    </w:div>
    <w:div w:id="809708856">
      <w:bodyDiv w:val="1"/>
      <w:marLeft w:val="0"/>
      <w:marRight w:val="0"/>
      <w:marTop w:val="0"/>
      <w:marBottom w:val="0"/>
      <w:divBdr>
        <w:top w:val="none" w:sz="0" w:space="0" w:color="auto"/>
        <w:left w:val="none" w:sz="0" w:space="0" w:color="auto"/>
        <w:bottom w:val="none" w:sz="0" w:space="0" w:color="auto"/>
        <w:right w:val="none" w:sz="0" w:space="0" w:color="auto"/>
      </w:divBdr>
    </w:div>
    <w:div w:id="950357626">
      <w:bodyDiv w:val="1"/>
      <w:marLeft w:val="0"/>
      <w:marRight w:val="0"/>
      <w:marTop w:val="0"/>
      <w:marBottom w:val="0"/>
      <w:divBdr>
        <w:top w:val="none" w:sz="0" w:space="0" w:color="auto"/>
        <w:left w:val="none" w:sz="0" w:space="0" w:color="auto"/>
        <w:bottom w:val="none" w:sz="0" w:space="0" w:color="auto"/>
        <w:right w:val="none" w:sz="0" w:space="0" w:color="auto"/>
      </w:divBdr>
    </w:div>
    <w:div w:id="967055641">
      <w:bodyDiv w:val="1"/>
      <w:marLeft w:val="0"/>
      <w:marRight w:val="0"/>
      <w:marTop w:val="0"/>
      <w:marBottom w:val="0"/>
      <w:divBdr>
        <w:top w:val="none" w:sz="0" w:space="0" w:color="auto"/>
        <w:left w:val="none" w:sz="0" w:space="0" w:color="auto"/>
        <w:bottom w:val="none" w:sz="0" w:space="0" w:color="auto"/>
        <w:right w:val="none" w:sz="0" w:space="0" w:color="auto"/>
      </w:divBdr>
    </w:div>
    <w:div w:id="973023162">
      <w:bodyDiv w:val="1"/>
      <w:marLeft w:val="0"/>
      <w:marRight w:val="0"/>
      <w:marTop w:val="0"/>
      <w:marBottom w:val="0"/>
      <w:divBdr>
        <w:top w:val="none" w:sz="0" w:space="0" w:color="auto"/>
        <w:left w:val="none" w:sz="0" w:space="0" w:color="auto"/>
        <w:bottom w:val="none" w:sz="0" w:space="0" w:color="auto"/>
        <w:right w:val="none" w:sz="0" w:space="0" w:color="auto"/>
      </w:divBdr>
    </w:div>
    <w:div w:id="1380131569">
      <w:bodyDiv w:val="1"/>
      <w:marLeft w:val="0"/>
      <w:marRight w:val="0"/>
      <w:marTop w:val="0"/>
      <w:marBottom w:val="0"/>
      <w:divBdr>
        <w:top w:val="none" w:sz="0" w:space="0" w:color="auto"/>
        <w:left w:val="none" w:sz="0" w:space="0" w:color="auto"/>
        <w:bottom w:val="none" w:sz="0" w:space="0" w:color="auto"/>
        <w:right w:val="none" w:sz="0" w:space="0" w:color="auto"/>
      </w:divBdr>
    </w:div>
    <w:div w:id="1747871806">
      <w:bodyDiv w:val="1"/>
      <w:marLeft w:val="0"/>
      <w:marRight w:val="0"/>
      <w:marTop w:val="0"/>
      <w:marBottom w:val="0"/>
      <w:divBdr>
        <w:top w:val="none" w:sz="0" w:space="0" w:color="auto"/>
        <w:left w:val="none" w:sz="0" w:space="0" w:color="auto"/>
        <w:bottom w:val="none" w:sz="0" w:space="0" w:color="auto"/>
        <w:right w:val="none" w:sz="0" w:space="0" w:color="auto"/>
      </w:divBdr>
    </w:div>
    <w:div w:id="1859730276">
      <w:bodyDiv w:val="1"/>
      <w:marLeft w:val="0"/>
      <w:marRight w:val="0"/>
      <w:marTop w:val="0"/>
      <w:marBottom w:val="0"/>
      <w:divBdr>
        <w:top w:val="none" w:sz="0" w:space="0" w:color="auto"/>
        <w:left w:val="none" w:sz="0" w:space="0" w:color="auto"/>
        <w:bottom w:val="none" w:sz="0" w:space="0" w:color="auto"/>
        <w:right w:val="none" w:sz="0" w:space="0" w:color="auto"/>
      </w:divBdr>
    </w:div>
    <w:div w:id="1889607171">
      <w:bodyDiv w:val="1"/>
      <w:marLeft w:val="0"/>
      <w:marRight w:val="0"/>
      <w:marTop w:val="0"/>
      <w:marBottom w:val="0"/>
      <w:divBdr>
        <w:top w:val="none" w:sz="0" w:space="0" w:color="auto"/>
        <w:left w:val="none" w:sz="0" w:space="0" w:color="auto"/>
        <w:bottom w:val="none" w:sz="0" w:space="0" w:color="auto"/>
        <w:right w:val="none" w:sz="0" w:space="0" w:color="auto"/>
      </w:divBdr>
    </w:div>
    <w:div w:id="20847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66526CF13A4744A3F405C706A27676" ma:contentTypeVersion="6" ma:contentTypeDescription="Create a new document." ma:contentTypeScope="" ma:versionID="9b7e7aef8d3cc6bd0f89b83a1212371e">
  <xsd:schema xmlns:xsd="http://www.w3.org/2001/XMLSchema" xmlns:xs="http://www.w3.org/2001/XMLSchema" xmlns:p="http://schemas.microsoft.com/office/2006/metadata/properties" xmlns:ns2="ee719712-884c-4c8d-8d27-41445e7e7427" xmlns:ns3="11baa735-0e72-4f23-be5d-412822bd3715" targetNamespace="http://schemas.microsoft.com/office/2006/metadata/properties" ma:root="true" ma:fieldsID="cc06b08109435a813f7bf84a074081fa" ns2:_="" ns3:_="">
    <xsd:import namespace="ee719712-884c-4c8d-8d27-41445e7e7427"/>
    <xsd:import namespace="11baa735-0e72-4f23-be5d-412822bd37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19712-884c-4c8d-8d27-41445e7e7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aa735-0e72-4f23-be5d-412822bd37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98418-9434-41C7-9D62-7E0B9A24E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82259A-4057-49EE-A8D0-8EA2B9A83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19712-884c-4c8d-8d27-41445e7e7427"/>
    <ds:schemaRef ds:uri="11baa735-0e72-4f23-be5d-412822bd3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6A777-1DDA-4F6E-8F4C-F1684C6D433A}">
  <ds:schemaRefs>
    <ds:schemaRef ds:uri="http://schemas.microsoft.com/office/2006/metadata/longProperties"/>
  </ds:schemaRefs>
</ds:datastoreItem>
</file>

<file path=customXml/itemProps4.xml><?xml version="1.0" encoding="utf-8"?>
<ds:datastoreItem xmlns:ds="http://schemas.openxmlformats.org/officeDocument/2006/customXml" ds:itemID="{B12D1752-63A5-4A0E-BB76-97560F82E0FC}">
  <ds:schemaRefs>
    <ds:schemaRef ds:uri="http://schemas.microsoft.com/sharepoint/v3/contenttype/forms"/>
  </ds:schemaRefs>
</ds:datastoreItem>
</file>

<file path=customXml/itemProps5.xml><?xml version="1.0" encoding="utf-8"?>
<ds:datastoreItem xmlns:ds="http://schemas.openxmlformats.org/officeDocument/2006/customXml" ds:itemID="{1CF1129C-C101-4F10-B05B-1989FBF8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MP Package_Participant_Response_Pack - initial consultation</vt:lpstr>
    </vt:vector>
  </TitlesOfParts>
  <Company/>
  <LinksUpToDate>false</LinksUpToDate>
  <CharactersWithSpaces>8672</CharactersWithSpaces>
  <SharedDoc>false</SharedDoc>
  <HLinks>
    <vt:vector size="60" baseType="variant">
      <vt:variant>
        <vt:i4>2752525</vt:i4>
      </vt:variant>
      <vt:variant>
        <vt:i4>56</vt:i4>
      </vt:variant>
      <vt:variant>
        <vt:i4>0</vt:i4>
      </vt:variant>
      <vt:variant>
        <vt:i4>5</vt:i4>
      </vt:variant>
      <vt:variant>
        <vt:lpwstr/>
      </vt:variant>
      <vt:variant>
        <vt:lpwstr>_Toc6924904</vt:lpwstr>
      </vt:variant>
      <vt:variant>
        <vt:i4>2752525</vt:i4>
      </vt:variant>
      <vt:variant>
        <vt:i4>50</vt:i4>
      </vt:variant>
      <vt:variant>
        <vt:i4>0</vt:i4>
      </vt:variant>
      <vt:variant>
        <vt:i4>5</vt:i4>
      </vt:variant>
      <vt:variant>
        <vt:lpwstr/>
      </vt:variant>
      <vt:variant>
        <vt:lpwstr>_Toc6924903</vt:lpwstr>
      </vt:variant>
      <vt:variant>
        <vt:i4>2752525</vt:i4>
      </vt:variant>
      <vt:variant>
        <vt:i4>44</vt:i4>
      </vt:variant>
      <vt:variant>
        <vt:i4>0</vt:i4>
      </vt:variant>
      <vt:variant>
        <vt:i4>5</vt:i4>
      </vt:variant>
      <vt:variant>
        <vt:lpwstr/>
      </vt:variant>
      <vt:variant>
        <vt:lpwstr>_Toc6924902</vt:lpwstr>
      </vt:variant>
      <vt:variant>
        <vt:i4>2752525</vt:i4>
      </vt:variant>
      <vt:variant>
        <vt:i4>38</vt:i4>
      </vt:variant>
      <vt:variant>
        <vt:i4>0</vt:i4>
      </vt:variant>
      <vt:variant>
        <vt:i4>5</vt:i4>
      </vt:variant>
      <vt:variant>
        <vt:lpwstr/>
      </vt:variant>
      <vt:variant>
        <vt:lpwstr>_Toc6924901</vt:lpwstr>
      </vt:variant>
      <vt:variant>
        <vt:i4>2752525</vt:i4>
      </vt:variant>
      <vt:variant>
        <vt:i4>32</vt:i4>
      </vt:variant>
      <vt:variant>
        <vt:i4>0</vt:i4>
      </vt:variant>
      <vt:variant>
        <vt:i4>5</vt:i4>
      </vt:variant>
      <vt:variant>
        <vt:lpwstr/>
      </vt:variant>
      <vt:variant>
        <vt:lpwstr>_Toc6924900</vt:lpwstr>
      </vt:variant>
      <vt:variant>
        <vt:i4>2293772</vt:i4>
      </vt:variant>
      <vt:variant>
        <vt:i4>26</vt:i4>
      </vt:variant>
      <vt:variant>
        <vt:i4>0</vt:i4>
      </vt:variant>
      <vt:variant>
        <vt:i4>5</vt:i4>
      </vt:variant>
      <vt:variant>
        <vt:lpwstr/>
      </vt:variant>
      <vt:variant>
        <vt:lpwstr>_Toc6924899</vt:lpwstr>
      </vt:variant>
      <vt:variant>
        <vt:i4>2293772</vt:i4>
      </vt:variant>
      <vt:variant>
        <vt:i4>20</vt:i4>
      </vt:variant>
      <vt:variant>
        <vt:i4>0</vt:i4>
      </vt:variant>
      <vt:variant>
        <vt:i4>5</vt:i4>
      </vt:variant>
      <vt:variant>
        <vt:lpwstr/>
      </vt:variant>
      <vt:variant>
        <vt:lpwstr>_Toc6924898</vt:lpwstr>
      </vt:variant>
      <vt:variant>
        <vt:i4>2293772</vt:i4>
      </vt:variant>
      <vt:variant>
        <vt:i4>14</vt:i4>
      </vt:variant>
      <vt:variant>
        <vt:i4>0</vt:i4>
      </vt:variant>
      <vt:variant>
        <vt:i4>5</vt:i4>
      </vt:variant>
      <vt:variant>
        <vt:lpwstr/>
      </vt:variant>
      <vt:variant>
        <vt:lpwstr>_Toc6924897</vt:lpwstr>
      </vt:variant>
      <vt:variant>
        <vt:i4>2293772</vt:i4>
      </vt:variant>
      <vt:variant>
        <vt:i4>8</vt:i4>
      </vt:variant>
      <vt:variant>
        <vt:i4>0</vt:i4>
      </vt:variant>
      <vt:variant>
        <vt:i4>5</vt:i4>
      </vt:variant>
      <vt:variant>
        <vt:lpwstr/>
      </vt:variant>
      <vt:variant>
        <vt:lpwstr>_Toc6924896</vt:lpwstr>
      </vt:variant>
      <vt:variant>
        <vt:i4>2293772</vt:i4>
      </vt:variant>
      <vt:variant>
        <vt:i4>2</vt:i4>
      </vt:variant>
      <vt:variant>
        <vt:i4>0</vt:i4>
      </vt:variant>
      <vt:variant>
        <vt:i4>5</vt:i4>
      </vt:variant>
      <vt:variant>
        <vt:lpwstr/>
      </vt:variant>
      <vt:variant>
        <vt:lpwstr>_Toc6924895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Package_Participant_Response_Pack - initial consultation</dc:title>
  <dc:subject/>
  <dc:creator>NEMMCO</dc:creator>
  <cp:keywords/>
  <dc:description/>
  <cp:lastModifiedBy>Meghan Bibby</cp:lastModifiedBy>
  <cp:revision>25</cp:revision>
  <cp:lastPrinted>2017-04-07T05:09:00Z</cp:lastPrinted>
  <dcterms:created xsi:type="dcterms:W3CDTF">2021-05-16T23:23:00Z</dcterms:created>
  <dcterms:modified xsi:type="dcterms:W3CDTF">2021-05-16T23:47:00Z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MODocumentTypeTaxHTField0">
    <vt:lpwstr>Operational Record|859762f2-4462-42eb-9744-c955c7e2c540</vt:lpwstr>
  </property>
  <property fmtid="{D5CDD505-2E9C-101B-9397-08002B2CF9AE}" pid="3" name="TaxCatchAll">
    <vt:lpwstr>6;#Operational Record|859762f2-4462-42eb-9744-c955c7e2c540</vt:lpwstr>
  </property>
  <property fmtid="{D5CDD505-2E9C-101B-9397-08002B2CF9AE}" pid="4" name="_dlc_DocId">
    <vt:lpwstr>RETAILMARKET-21-58955</vt:lpwstr>
  </property>
  <property fmtid="{D5CDD505-2E9C-101B-9397-08002B2CF9AE}" pid="5" name="_dlc_DocIdItemGuid">
    <vt:lpwstr>f38e6ccb-eda2-49e1-a8c6-4195fd765a84</vt:lpwstr>
  </property>
  <property fmtid="{D5CDD505-2E9C-101B-9397-08002B2CF9AE}" pid="6" name="_dlc_DocIdUrl">
    <vt:lpwstr>http://sharedocs/sites/rmm/RetD/_layouts/15/DocIdRedir.aspx?ID=RETAILMARKET-21-58955, RETAILMARKET-21-58955</vt:lpwstr>
  </property>
  <property fmtid="{D5CDD505-2E9C-101B-9397-08002B2CF9AE}" pid="7" name="AEMODescription">
    <vt:lpwstr/>
  </property>
  <property fmtid="{D5CDD505-2E9C-101B-9397-08002B2CF9AE}" pid="8" name="AEMODocumentType">
    <vt:lpwstr>6;#Operational Record|859762f2-4462-42eb-9744-c955c7e2c540</vt:lpwstr>
  </property>
  <property fmtid="{D5CDD505-2E9C-101B-9397-08002B2CF9AE}" pid="9" name="ArchiveDocument">
    <vt:lpwstr>0</vt:lpwstr>
  </property>
  <property fmtid="{D5CDD505-2E9C-101B-9397-08002B2CF9AE}" pid="10" name="AEMOKeywords">
    <vt:lpwstr/>
  </property>
  <property fmtid="{D5CDD505-2E9C-101B-9397-08002B2CF9AE}" pid="11" name="AEMOKeywordsTaxHTField0">
    <vt:lpwstr/>
  </property>
  <property fmtid="{D5CDD505-2E9C-101B-9397-08002B2CF9AE}" pid="12" name="AEMOCustodian">
    <vt:lpwstr/>
  </property>
  <property fmtid="{D5CDD505-2E9C-101B-9397-08002B2CF9AE}" pid="13" name="ContentTypeId">
    <vt:lpwstr>0x010100E066526CF13A4744A3F405C706A27676</vt:lpwstr>
  </property>
</Properties>
</file>