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C89E" w14:textId="79DA57C9" w:rsidR="00B1593B" w:rsidRPr="005662B3" w:rsidRDefault="00B1593B" w:rsidP="00B1593B">
      <w:pPr>
        <w:tabs>
          <w:tab w:val="left" w:pos="1980"/>
        </w:tabs>
        <w:spacing w:before="120" w:after="120" w:line="312" w:lineRule="auto"/>
        <w:outlineLvl w:val="0"/>
        <w:rPr>
          <w:rFonts w:ascii="Century Gothic" w:eastAsia="Arial Nova" w:hAnsi="Century Gothic" w:cs="Times New Roman"/>
          <w:b/>
          <w:color w:val="6B3077"/>
          <w:sz w:val="44"/>
          <w:szCs w:val="44"/>
        </w:rPr>
      </w:pPr>
      <w:r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 xml:space="preserve">Draft report </w:t>
      </w:r>
      <w:r w:rsidR="00BF7AAF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Stakeholder feedback template</w:t>
      </w:r>
      <w:r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:</w:t>
      </w:r>
      <w:r w:rsidR="00BF7AAF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 xml:space="preserve"> </w:t>
      </w:r>
    </w:p>
    <w:p w14:paraId="12EF8D54" w14:textId="0BC42D58" w:rsidR="00B1593B" w:rsidRPr="005662B3" w:rsidRDefault="00B1593B" w:rsidP="00B1593B">
      <w:pPr>
        <w:tabs>
          <w:tab w:val="left" w:pos="1980"/>
        </w:tabs>
        <w:spacing w:before="120" w:after="120" w:line="312" w:lineRule="auto"/>
        <w:outlineLvl w:val="0"/>
        <w:rPr>
          <w:rFonts w:ascii="Century Gothic" w:eastAsia="Arial Nova" w:hAnsi="Century Gothic" w:cs="Times New Roman"/>
          <w:b/>
          <w:color w:val="6B3077"/>
          <w:sz w:val="44"/>
          <w:szCs w:val="44"/>
        </w:rPr>
      </w:pPr>
      <w:r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AEMO</w:t>
      </w:r>
      <w:r w:rsidR="00BF7AAF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 xml:space="preserve"> </w:t>
      </w:r>
      <w:r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R</w:t>
      </w:r>
      <w:r w:rsidR="00BF7AAF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eview of technical requirements for connection</w:t>
      </w:r>
      <w:r w:rsidR="007D0A95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 xml:space="preserve"> </w:t>
      </w:r>
      <w:r w:rsidR="00553BCE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 xml:space="preserve">(NER </w:t>
      </w:r>
      <w:r w:rsidR="007D0A95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5.2.6A</w:t>
      </w:r>
      <w:r w:rsidR="00553BCE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)</w:t>
      </w:r>
    </w:p>
    <w:p w14:paraId="59213659" w14:textId="1F852E85" w:rsidR="000E5F6A" w:rsidRDefault="000E5F6A" w:rsidP="000E5F6A">
      <w:pPr>
        <w:tabs>
          <w:tab w:val="left" w:pos="1980"/>
        </w:tabs>
        <w:spacing w:before="60" w:after="60" w:line="240" w:lineRule="auto"/>
        <w:rPr>
          <w:rFonts w:ascii="Arial Nova" w:eastAsia="Arial Nova" w:hAnsi="Arial Nova" w:cs="Times New Roman"/>
          <w:bCs/>
          <w:sz w:val="20"/>
          <w:szCs w:val="32"/>
        </w:rPr>
      </w:pPr>
      <w:r w:rsidRPr="000E5F6A">
        <w:rPr>
          <w:rFonts w:ascii="Arial Nova" w:eastAsia="Arial Nova" w:hAnsi="Arial Nova" w:cs="Times New Roman"/>
          <w:bCs/>
          <w:sz w:val="20"/>
          <w:szCs w:val="32"/>
        </w:rPr>
        <w:t xml:space="preserve">Stakeholders making a submission on </w:t>
      </w:r>
      <w:r w:rsidR="00BF450B">
        <w:rPr>
          <w:rFonts w:ascii="Arial Nova" w:eastAsia="Arial Nova" w:hAnsi="Arial Nova" w:cs="Times New Roman"/>
          <w:bCs/>
          <w:sz w:val="20"/>
          <w:szCs w:val="32"/>
        </w:rPr>
        <w:t xml:space="preserve">the </w:t>
      </w:r>
      <w:r>
        <w:rPr>
          <w:rFonts w:ascii="Arial Nova" w:eastAsia="Arial Nova" w:hAnsi="Arial Nova" w:cs="Times New Roman"/>
          <w:bCs/>
          <w:sz w:val="20"/>
          <w:szCs w:val="32"/>
        </w:rPr>
        <w:t xml:space="preserve">recommendations </w:t>
      </w:r>
      <w:r w:rsidR="00BF450B">
        <w:rPr>
          <w:rFonts w:ascii="Arial Nova" w:eastAsia="Arial Nova" w:hAnsi="Arial Nova" w:cs="Times New Roman"/>
          <w:bCs/>
          <w:sz w:val="20"/>
          <w:szCs w:val="32"/>
        </w:rPr>
        <w:t>set out in the AEMO</w:t>
      </w:r>
      <w:r>
        <w:rPr>
          <w:rFonts w:ascii="Arial Nova" w:eastAsia="Arial Nova" w:hAnsi="Arial Nova" w:cs="Times New Roman"/>
          <w:bCs/>
          <w:sz w:val="20"/>
          <w:szCs w:val="32"/>
        </w:rPr>
        <w:t xml:space="preserve"> draft report</w:t>
      </w:r>
      <w:r w:rsidR="00B928F3">
        <w:rPr>
          <w:rFonts w:ascii="Arial Nova" w:eastAsia="Arial Nova" w:hAnsi="Arial Nova" w:cs="Times New Roman"/>
          <w:bCs/>
          <w:sz w:val="20"/>
          <w:szCs w:val="32"/>
        </w:rPr>
        <w:t xml:space="preserve"> may use the below template to </w:t>
      </w:r>
      <w:r w:rsidR="005B15DD">
        <w:rPr>
          <w:rFonts w:ascii="Arial Nova" w:eastAsia="Arial Nova" w:hAnsi="Arial Nova" w:cs="Times New Roman"/>
          <w:bCs/>
          <w:sz w:val="20"/>
          <w:szCs w:val="32"/>
        </w:rPr>
        <w:t>provide feedback.</w:t>
      </w:r>
      <w:r w:rsidR="00B16743">
        <w:rPr>
          <w:rFonts w:ascii="Arial Nova" w:eastAsia="Arial Nova" w:hAnsi="Arial Nova" w:cs="Times New Roman"/>
          <w:bCs/>
          <w:sz w:val="20"/>
          <w:szCs w:val="32"/>
        </w:rPr>
        <w:t xml:space="preserve"> Please consider the confidentiality disclaimer at the end of this document.</w:t>
      </w:r>
    </w:p>
    <w:p w14:paraId="0B504875" w14:textId="4680639D" w:rsidR="00B42822" w:rsidRPr="008260A7" w:rsidRDefault="00B1593B" w:rsidP="00B1593B">
      <w:pPr>
        <w:keepNext/>
        <w:spacing w:before="300" w:after="120" w:line="240" w:lineRule="auto"/>
        <w:ind w:left="992" w:hanging="992"/>
        <w:rPr>
          <w:rFonts w:ascii="Century Gothic" w:eastAsia="Arial Nova" w:hAnsi="Century Gothic" w:cs="Times New Roman"/>
          <w:b/>
          <w:color w:val="6B3077"/>
        </w:rPr>
      </w:pPr>
      <w:r w:rsidRPr="008260A7">
        <w:rPr>
          <w:rFonts w:ascii="Century Gothic" w:eastAsia="Arial Nova" w:hAnsi="Century Gothic" w:cs="Times New Roman"/>
          <w:b/>
          <w:iCs/>
          <w:color w:val="6B3077"/>
        </w:rPr>
        <w:t>Stakeholder:</w:t>
      </w:r>
      <w:r w:rsidR="00E80EF8">
        <w:rPr>
          <w:rFonts w:ascii="Century Gothic" w:eastAsia="Arial Nova" w:hAnsi="Century Gothic" w:cs="Times New Roman"/>
          <w:b/>
          <w:iCs/>
          <w:color w:val="6B3077"/>
        </w:rPr>
        <w:t xml:space="preserve"> </w:t>
      </w:r>
      <w:sdt>
        <w:sdtPr>
          <w:rPr>
            <w:rFonts w:ascii="Century Gothic" w:eastAsia="Arial Nova" w:hAnsi="Century Gothic" w:cs="Times New Roman"/>
            <w:b/>
            <w:iCs/>
            <w:color w:val="6B3077"/>
          </w:rPr>
          <w:id w:val="-436293438"/>
          <w:placeholder>
            <w:docPart w:val="DefaultPlaceholder_-185401344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C93EFC">
            <w:rPr>
              <w:rFonts w:ascii="Century Gothic" w:eastAsia="Arial Nova" w:hAnsi="Century Gothic" w:cs="Times New Roman"/>
              <w:b/>
              <w:iCs/>
              <w:color w:val="6B3077"/>
            </w:rPr>
            <w:t>Organisation name</w:t>
          </w:r>
        </w:sdtContent>
      </w:sdt>
      <w:r w:rsidRPr="008260A7">
        <w:rPr>
          <w:rFonts w:ascii="Century Gothic" w:eastAsia="Arial Nova" w:hAnsi="Century Gothic" w:cs="Times New Roman"/>
          <w:b/>
          <w:iCs/>
          <w:color w:val="6B3077"/>
        </w:rPr>
        <w:t xml:space="preserve"> </w:t>
      </w:r>
    </w:p>
    <w:p w14:paraId="29A11939" w14:textId="77777777" w:rsidR="00B1593B" w:rsidRPr="00B1593B" w:rsidRDefault="00B1593B" w:rsidP="00B1593B">
      <w:pPr>
        <w:pStyle w:val="BodyText"/>
      </w:pPr>
    </w:p>
    <w:p w14:paraId="730DD402" w14:textId="77777777" w:rsidR="00BF7AAF" w:rsidRPr="00BF7AAF" w:rsidRDefault="00BF7AAF" w:rsidP="00BF7AAF">
      <w:pPr>
        <w:keepNext/>
        <w:spacing w:before="300" w:after="120" w:line="240" w:lineRule="auto"/>
        <w:ind w:left="992" w:hanging="992"/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</w:pPr>
      <w:bookmarkStart w:id="0" w:name="_Toc128149222"/>
      <w:r w:rsidRPr="00BF7AAF"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  <w:t>Schedule 5.2 Conditions for Connection of Generators</w:t>
      </w:r>
      <w:bookmarkEnd w:id="0"/>
    </w:p>
    <w:tbl>
      <w:tblPr>
        <w:tblStyle w:val="AEMO-Table2"/>
        <w:tblW w:w="4875" w:type="pct"/>
        <w:tblLook w:val="00A0" w:firstRow="1" w:lastRow="0" w:firstColumn="1" w:lastColumn="0" w:noHBand="0" w:noVBand="0"/>
      </w:tblPr>
      <w:tblGrid>
        <w:gridCol w:w="3779"/>
        <w:gridCol w:w="11234"/>
      </w:tblGrid>
      <w:tr w:rsidR="00BF7AAF" w:rsidRPr="00BF7AAF" w14:paraId="6F54018C" w14:textId="77777777" w:rsidTr="00BF7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748B3859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Issue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1BFDB6A1" w14:textId="2F0CC080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Schedule 5.2 Generator Recommendation</w:t>
            </w:r>
            <w:r w:rsidR="00FD619A">
              <w:rPr>
                <w:rFonts w:ascii="Arial Nova" w:eastAsia="Arial Nova" w:hAnsi="Arial Nova" w:cs="Times New Roman"/>
                <w:sz w:val="16"/>
              </w:rPr>
              <w:t xml:space="preserve"> feedback</w:t>
            </w:r>
          </w:p>
        </w:tc>
      </w:tr>
      <w:tr w:rsidR="00BF7AAF" w:rsidRPr="00BF7AAF" w14:paraId="4875D757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1" w:type="dxa"/>
            <w:gridSpan w:val="2"/>
            <w:shd w:val="clear" w:color="auto" w:fill="auto"/>
          </w:tcPr>
          <w:p w14:paraId="04CC4782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  <w:p w14:paraId="2BDFEC37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NER S5.2.1 – Outline of requirements</w:t>
            </w:r>
          </w:p>
        </w:tc>
      </w:tr>
      <w:tr w:rsidR="00BF7AAF" w:rsidRPr="00BF7AAF" w14:paraId="0F818F06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1A55579F" w14:textId="229337A8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Application of Schedule 5.2 based on plant type instead of registration category and extension to synchronous condensers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7B87457C" w14:textId="5A42FFEC" w:rsidR="00BF7AAF" w:rsidRPr="00BF7AAF" w:rsidRDefault="008260A7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>
              <w:rPr>
                <w:rFonts w:ascii="Arial Nova" w:eastAsia="Arial Nova" w:hAnsi="Arial Nova" w:cs="Times New Roman"/>
                <w:sz w:val="16"/>
              </w:rPr>
              <w:t>[</w:t>
            </w:r>
            <w:r w:rsidR="009957DB" w:rsidRPr="00B53CCB">
              <w:rPr>
                <w:rFonts w:ascii="Arial Nova" w:eastAsia="Arial Nova" w:hAnsi="Arial Nova" w:cs="Times New Roman"/>
                <w:sz w:val="16"/>
                <w:highlight w:val="yellow"/>
              </w:rPr>
              <w:t>feedback</w:t>
            </w:r>
            <w:r w:rsidRPr="00B53CCB">
              <w:rPr>
                <w:rFonts w:ascii="Arial Nova" w:eastAsia="Arial Nova" w:hAnsi="Arial Nova" w:cs="Times New Roman"/>
                <w:sz w:val="16"/>
                <w:highlight w:val="yellow"/>
              </w:rPr>
              <w:t xml:space="preserve"> on draft </w:t>
            </w:r>
            <w:r w:rsidR="00B53CCB">
              <w:rPr>
                <w:rFonts w:ascii="Arial Nova" w:eastAsia="Arial Nova" w:hAnsi="Arial Nova" w:cs="Times New Roman"/>
                <w:sz w:val="16"/>
                <w:highlight w:val="yellow"/>
              </w:rPr>
              <w:t xml:space="preserve">report </w:t>
            </w:r>
            <w:r w:rsidRPr="00B53CCB">
              <w:rPr>
                <w:rFonts w:ascii="Arial Nova" w:eastAsia="Arial Nova" w:hAnsi="Arial Nova" w:cs="Times New Roman"/>
                <w:sz w:val="16"/>
                <w:highlight w:val="yellow"/>
              </w:rPr>
              <w:t>recommendation</w:t>
            </w:r>
            <w:r>
              <w:rPr>
                <w:rFonts w:ascii="Arial Nova" w:eastAsia="Arial Nova" w:hAnsi="Arial Nova" w:cs="Times New Roman"/>
                <w:sz w:val="16"/>
              </w:rPr>
              <w:t>]</w:t>
            </w:r>
          </w:p>
        </w:tc>
      </w:tr>
      <w:tr w:rsidR="00BF7AAF" w:rsidRPr="00BF7AAF" w14:paraId="6434C5E2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1" w:type="dxa"/>
            <w:gridSpan w:val="2"/>
            <w:shd w:val="clear" w:color="auto" w:fill="auto"/>
          </w:tcPr>
          <w:p w14:paraId="78589F16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bookmarkStart w:id="1" w:name="_Toc124164189"/>
            <w:bookmarkStart w:id="2" w:name="_Toc126244651"/>
          </w:p>
          <w:p w14:paraId="7ADBFAE3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NER S5.2.5.1</w:t>
            </w:r>
            <w:bookmarkEnd w:id="1"/>
            <w:r w:rsidRPr="00BF7AAF">
              <w:rPr>
                <w:rFonts w:ascii="Arial Nova" w:eastAsia="Arial Nova" w:hAnsi="Arial Nova" w:cs="Times New Roman"/>
                <w:sz w:val="16"/>
              </w:rPr>
              <w:t xml:space="preserve"> – Reactive power capability</w:t>
            </w:r>
            <w:bookmarkEnd w:id="2"/>
            <w:r w:rsidRPr="00BF7AAF">
              <w:rPr>
                <w:rFonts w:ascii="Arial Nova" w:eastAsia="Arial Nova" w:hAnsi="Arial Nova" w:cs="Times New Roman"/>
                <w:sz w:val="16"/>
              </w:rPr>
              <w:t xml:space="preserve"> </w:t>
            </w:r>
          </w:p>
        </w:tc>
      </w:tr>
      <w:tr w:rsidR="00BF7AAF" w:rsidRPr="00BF7AAF" w14:paraId="2E22337B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D5D5DA"/>
          </w:tcPr>
          <w:p w14:paraId="08C89080" w14:textId="2218930D" w:rsidR="00BF7AAF" w:rsidRPr="00BF7AAF" w:rsidRDefault="00BF7AAF" w:rsidP="000E5F6A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 xml:space="preserve">Voltage range for full reactive power requirement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5C907D42" w14:textId="04CAE5B4" w:rsidR="00BF7AAF" w:rsidRPr="00BF7AAF" w:rsidRDefault="00BF7AAF" w:rsidP="00BF7AAF">
            <w:pPr>
              <w:tabs>
                <w:tab w:val="left" w:pos="1980"/>
              </w:tabs>
              <w:spacing w:before="60" w:after="60"/>
              <w:ind w:left="170" w:hanging="17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532F9CC5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D5D5DA"/>
          </w:tcPr>
          <w:p w14:paraId="711DBBBD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 xml:space="preserve">Treatment of reactive power capability considering temperature derating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1D9AB572" w14:textId="76DACA4F" w:rsidR="00BF7AAF" w:rsidRPr="00BF7AAF" w:rsidRDefault="00BF7AAF" w:rsidP="00BF7AAF">
            <w:pPr>
              <w:tabs>
                <w:tab w:val="left" w:pos="1980"/>
              </w:tabs>
              <w:spacing w:before="60" w:after="60"/>
              <w:ind w:left="170" w:hanging="17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6761E66F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649E20E8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Compensation of reactive power when units are out of service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2B43E982" w14:textId="42902113" w:rsidR="00BF7AAF" w:rsidRPr="00BF7AAF" w:rsidRDefault="00BF7AAF" w:rsidP="00BF7AAF">
            <w:pPr>
              <w:tabs>
                <w:tab w:val="left" w:pos="1980"/>
              </w:tabs>
              <w:spacing w:before="60" w:after="60"/>
              <w:ind w:left="170" w:hanging="17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6E5D50CE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1" w:type="dxa"/>
            <w:gridSpan w:val="2"/>
            <w:shd w:val="clear" w:color="auto" w:fill="auto"/>
          </w:tcPr>
          <w:p w14:paraId="31D211BB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  <w:p w14:paraId="62FF11DE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S5.2.5.1, S5.2.5.5, S5.2.5.7, S5.2.5.8, S5.2.5.10</w:t>
            </w:r>
          </w:p>
        </w:tc>
      </w:tr>
      <w:tr w:rsidR="00BF7AAF" w:rsidRPr="00BF7AAF" w14:paraId="61A32C14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D5D5DA"/>
          </w:tcPr>
          <w:p w14:paraId="369A7955" w14:textId="5AC145F1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Simplifying standards for small connections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6B3B6BCB" w14:textId="2E51B0CB" w:rsidR="00BF7AAF" w:rsidRPr="00BF7AAF" w:rsidRDefault="00BF7AAF" w:rsidP="00BF7AAF">
            <w:pPr>
              <w:tabs>
                <w:tab w:val="left" w:pos="1980"/>
              </w:tabs>
              <w:spacing w:before="60" w:after="60"/>
              <w:ind w:left="170" w:hanging="17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3E5D4196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DED34E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021DF844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1" w:type="dxa"/>
            <w:gridSpan w:val="2"/>
            <w:tcBorders>
              <w:top w:val="nil"/>
            </w:tcBorders>
            <w:shd w:val="clear" w:color="auto" w:fill="auto"/>
          </w:tcPr>
          <w:p w14:paraId="1AA9E0B3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NER S5.2.5.2 – Quality of electricity generated</w:t>
            </w:r>
          </w:p>
        </w:tc>
      </w:tr>
      <w:tr w:rsidR="00BF7AAF" w:rsidRPr="00BF7AAF" w14:paraId="52D0DB2D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52C9F5E2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Reference to plant standard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0EF455A4" w14:textId="77777777" w:rsidR="007E0455" w:rsidRPr="007E0455" w:rsidRDefault="007E0455" w:rsidP="007E0455">
            <w:pPr>
              <w:rPr>
                <w:rFonts w:ascii="Arial Nova" w:eastAsia="Arial Nova" w:hAnsi="Arial Nova" w:cs="Times New Roman"/>
                <w:sz w:val="16"/>
              </w:rPr>
            </w:pPr>
          </w:p>
          <w:p w14:paraId="0D9B7D2A" w14:textId="77777777" w:rsidR="007E0455" w:rsidRDefault="007E0455" w:rsidP="007E0455">
            <w:pPr>
              <w:rPr>
                <w:rFonts w:ascii="Arial Nova" w:eastAsia="Arial Nova" w:hAnsi="Arial Nova" w:cs="Times New Roman"/>
                <w:sz w:val="16"/>
              </w:rPr>
            </w:pPr>
          </w:p>
          <w:p w14:paraId="006945BD" w14:textId="77777777" w:rsidR="007E0455" w:rsidRDefault="007E0455" w:rsidP="007E0455">
            <w:pPr>
              <w:rPr>
                <w:rFonts w:ascii="Arial Nova" w:eastAsia="Arial Nova" w:hAnsi="Arial Nova" w:cs="Times New Roman"/>
                <w:sz w:val="16"/>
              </w:rPr>
            </w:pPr>
          </w:p>
          <w:p w14:paraId="28EACD40" w14:textId="211D699C" w:rsidR="007E0455" w:rsidRPr="007E0455" w:rsidRDefault="007E0455" w:rsidP="007E0455">
            <w:pPr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1FC66DB3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1" w:type="dxa"/>
            <w:gridSpan w:val="2"/>
            <w:shd w:val="clear" w:color="auto" w:fill="auto"/>
          </w:tcPr>
          <w:p w14:paraId="31753FC4" w14:textId="77777777" w:rsidR="00BF7AAF" w:rsidRPr="00BF7AAF" w:rsidRDefault="00BF7AAF" w:rsidP="00F945E9">
            <w:pPr>
              <w:keepNext/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bookmarkStart w:id="3" w:name="_Toc124164192"/>
            <w:bookmarkStart w:id="4" w:name="_Toc126244654"/>
          </w:p>
          <w:p w14:paraId="7A1C03B0" w14:textId="77777777" w:rsidR="00BF7AAF" w:rsidRPr="00BF7AAF" w:rsidRDefault="00BF7AAF" w:rsidP="00F945E9">
            <w:pPr>
              <w:keepNext/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>NER S5.2.5.4</w:t>
            </w:r>
            <w:bookmarkEnd w:id="3"/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 xml:space="preserve"> – Generating system response to voltage disturbances</w:t>
            </w:r>
            <w:bookmarkEnd w:id="4"/>
          </w:p>
        </w:tc>
      </w:tr>
      <w:tr w:rsidR="00BF7AAF" w:rsidRPr="00BF7AAF" w14:paraId="33849FA5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1A6B421F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Overvoltage requirements for medium voltage and lower connections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1FD46DCA" w14:textId="5F529985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50E59A35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D5D5DA"/>
          </w:tcPr>
          <w:p w14:paraId="01ED5ECD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Requirements for overvoltages above 130%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0A5A9A7E" w14:textId="7ED87D25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29253E66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D5D5DA"/>
          </w:tcPr>
          <w:p w14:paraId="1359CA33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Clarification of continuous uninterrupted operation in the range 90% to 110% of normal voltage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76AEC0BE" w14:textId="524601FB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7EFC47B8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1" w:type="dxa"/>
            <w:gridSpan w:val="2"/>
            <w:shd w:val="clear" w:color="auto" w:fill="auto"/>
          </w:tcPr>
          <w:p w14:paraId="14D78ED2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bookmarkStart w:id="5" w:name="_Toc124164193"/>
            <w:bookmarkStart w:id="6" w:name="_Toc126244655"/>
          </w:p>
          <w:p w14:paraId="2C8ED7DF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>NER S5.2.5.5</w:t>
            </w:r>
            <w:bookmarkEnd w:id="5"/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 xml:space="preserve"> – Generating system response to disturbances following contingency events</w:t>
            </w:r>
            <w:bookmarkEnd w:id="6"/>
          </w:p>
        </w:tc>
      </w:tr>
      <w:tr w:rsidR="00BF7AAF" w:rsidRPr="00BF7AAF" w14:paraId="0EAE8992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D5D5DA"/>
          </w:tcPr>
          <w:p w14:paraId="2F586983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Definition of end of a disturbance for multiple fault ride through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6DD4903E" w14:textId="62C6D8AB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1816CD8C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D5D5DA"/>
          </w:tcPr>
          <w:p w14:paraId="32F661B2" w14:textId="6BD4B8C5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Form of multiple fault ride through clause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68261594" w14:textId="0172F3D6" w:rsidR="00BF7AAF" w:rsidRPr="00BF7AAF" w:rsidRDefault="00BF7AAF" w:rsidP="00BF7AAF">
            <w:pPr>
              <w:tabs>
                <w:tab w:val="left" w:pos="1980"/>
              </w:tabs>
              <w:spacing w:before="60" w:after="60"/>
              <w:ind w:left="170" w:hanging="17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2F70B961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D5D5DA"/>
          </w:tcPr>
          <w:p w14:paraId="2A5849AC" w14:textId="128DFAA1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Number of faults with 200 ms between them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15491329" w14:textId="320118CF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7D000E84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D5D5DA"/>
          </w:tcPr>
          <w:p w14:paraId="7F83DA35" w14:textId="4685B56D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Reduction of fault level below minimum level for which the plant has been tuned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1331EA8E" w14:textId="6F217C4A" w:rsidR="00BF7AAF" w:rsidRPr="00BF7AAF" w:rsidRDefault="00BF7AAF" w:rsidP="00BF7AAF">
            <w:pPr>
              <w:tabs>
                <w:tab w:val="left" w:pos="1980"/>
              </w:tabs>
              <w:spacing w:before="60" w:after="60"/>
              <w:ind w:left="170" w:hanging="17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0D75F1F7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75AD6F08" w14:textId="71E05765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Active power recovery after a fault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4CCDC7C7" w14:textId="72AA05F9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1C490445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00D04DF3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 xml:space="preserve">Rise time and settling time for reactive current injection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0D4B4955" w14:textId="7FB41704" w:rsidR="00BF7AAF" w:rsidRPr="00BF7AAF" w:rsidRDefault="00BF7AAF" w:rsidP="00BF7AAF">
            <w:pPr>
              <w:tabs>
                <w:tab w:val="left" w:pos="1980"/>
              </w:tabs>
              <w:spacing w:before="60" w:after="60"/>
              <w:ind w:left="170" w:hanging="17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719C76BA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38357BFF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Commencement of reactive current injection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76E2B090" w14:textId="3AE3F482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2EE28172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1A83A580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Clarity on reactive current injection volume and location and consideration of unbalanced voltages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507836FE" w14:textId="5627E309" w:rsidR="00BF7AAF" w:rsidRPr="00BF7AAF" w:rsidRDefault="00BF7AAF" w:rsidP="00BF7AAF">
            <w:pPr>
              <w:tabs>
                <w:tab w:val="left" w:pos="1980"/>
              </w:tabs>
              <w:spacing w:before="60" w:after="60"/>
              <w:ind w:left="170" w:hanging="17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083E3989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2C570460" w14:textId="56D2D91F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Metallic conducting path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214FAA1F" w14:textId="533DB8DE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6A23F2A7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57641554" w14:textId="5C3776BB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Reclassified contingency events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35932CA1" w14:textId="01EA0C5F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56F3514E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1" w:type="dxa"/>
            <w:gridSpan w:val="2"/>
            <w:shd w:val="clear" w:color="auto" w:fill="auto"/>
          </w:tcPr>
          <w:p w14:paraId="0020EC87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bookmarkStart w:id="7" w:name="_Toc124164194"/>
            <w:bookmarkStart w:id="8" w:name="_Toc126244656"/>
          </w:p>
          <w:p w14:paraId="0A1EB430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>NER S5.2.5.7</w:t>
            </w:r>
            <w:bookmarkEnd w:id="7"/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 xml:space="preserve"> – Partial load rejection</w:t>
            </w:r>
            <w:bookmarkEnd w:id="8"/>
          </w:p>
        </w:tc>
      </w:tr>
      <w:tr w:rsidR="00BF7AAF" w:rsidRPr="00BF7AAF" w14:paraId="432B18B3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4F830A92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Application of minimum generation to energy storage systems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71396D82" w14:textId="0AE94553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08A26D4F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675F6A42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Clarification of meaning of continuous uninterrupted operation for NER S5.2.5.7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527C6102" w14:textId="32152618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68662FCA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1" w:type="dxa"/>
            <w:gridSpan w:val="2"/>
            <w:shd w:val="clear" w:color="auto" w:fill="auto"/>
          </w:tcPr>
          <w:p w14:paraId="5A483289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bookmarkStart w:id="9" w:name="_Toc124164195"/>
            <w:bookmarkStart w:id="10" w:name="_Toc126244657"/>
          </w:p>
          <w:p w14:paraId="1EC78C83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>NER S5.2.5.8</w:t>
            </w:r>
            <w:bookmarkEnd w:id="9"/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 xml:space="preserve"> – Protection of generating systems from power system disturbances</w:t>
            </w:r>
            <w:bookmarkEnd w:id="10"/>
          </w:p>
        </w:tc>
      </w:tr>
      <w:tr w:rsidR="00BF7AAF" w:rsidRPr="00BF7AAF" w14:paraId="4F73B58D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33444D0C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 xml:space="preserve">Emergency over-frequency response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38EBF71C" w14:textId="7063463E" w:rsidR="00BF7AAF" w:rsidRPr="00BF7AAF" w:rsidRDefault="00BF7AAF" w:rsidP="00BF7AAF">
            <w:pPr>
              <w:tabs>
                <w:tab w:val="left" w:pos="1980"/>
              </w:tabs>
              <w:spacing w:before="60" w:after="60"/>
              <w:ind w:left="170" w:hanging="17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01EE776B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1" w:type="dxa"/>
            <w:gridSpan w:val="2"/>
            <w:shd w:val="clear" w:color="auto" w:fill="auto"/>
          </w:tcPr>
          <w:p w14:paraId="2508CDE6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bookmarkStart w:id="11" w:name="_Toc126244658"/>
          </w:p>
          <w:p w14:paraId="5DCFA4B4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>NER S5.2.5.10 – Protection to trip plant for unstable operation</w:t>
            </w:r>
            <w:bookmarkEnd w:id="11"/>
          </w:p>
        </w:tc>
      </w:tr>
      <w:tr w:rsidR="00BF7AAF" w:rsidRPr="00BF7AAF" w14:paraId="149D4CC6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3467F82C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Requirements for stability protection on asynchronous generating systems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13A88196" w14:textId="36080559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  <w:p w14:paraId="65EB72BB" w14:textId="2B8A99D2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3900E4A7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1" w:type="dxa"/>
            <w:gridSpan w:val="2"/>
            <w:shd w:val="clear" w:color="auto" w:fill="auto"/>
          </w:tcPr>
          <w:p w14:paraId="7196FD6D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bookmarkStart w:id="12" w:name="_Toc124164198"/>
            <w:bookmarkStart w:id="13" w:name="_Toc126244660"/>
          </w:p>
          <w:p w14:paraId="488532F6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NER S5.2.5.13</w:t>
            </w:r>
            <w:bookmarkEnd w:id="12"/>
            <w:r w:rsidRPr="00BF7AAF">
              <w:rPr>
                <w:rFonts w:ascii="Arial Nova" w:eastAsia="Arial Nova" w:hAnsi="Arial Nova" w:cs="Times New Roman"/>
                <w:sz w:val="16"/>
              </w:rPr>
              <w:t xml:space="preserve"> – Voltage and reactive power control</w:t>
            </w:r>
            <w:bookmarkEnd w:id="13"/>
          </w:p>
        </w:tc>
      </w:tr>
      <w:tr w:rsidR="00BF7AAF" w:rsidRPr="00BF7AAF" w14:paraId="53681641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1DFB8776" w14:textId="134514B1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bookmarkStart w:id="14" w:name="_Ref126073494"/>
            <w:r w:rsidRPr="00BF7AAF">
              <w:rPr>
                <w:rFonts w:ascii="Arial Nova" w:eastAsia="Arial Nova" w:hAnsi="Arial Nova" w:cs="Times New Roman"/>
                <w:sz w:val="16"/>
              </w:rPr>
              <w:t>Voltage control at unit level and slow setpoint change</w:t>
            </w:r>
            <w:bookmarkEnd w:id="1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6776CB74" w14:textId="6CC1F721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050E8DBE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0B277B27" w14:textId="3BCBC4AE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bookmarkStart w:id="15" w:name="_Ref126578285"/>
            <w:r w:rsidRPr="00BF7AAF">
              <w:rPr>
                <w:rFonts w:ascii="Arial Nova" w:eastAsia="Arial Nova" w:hAnsi="Arial Nova" w:cs="Times New Roman"/>
                <w:sz w:val="16"/>
              </w:rPr>
              <w:t>Realignment of performance requirements to optimise power system performance over expected fault level (system impedance) range – Voltage control</w:t>
            </w:r>
            <w:bookmarkEnd w:id="1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2C138CD5" w14:textId="448FDABB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07F2F541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1A606025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Materiality threshold on settling time error band and voltage settling time for reactive power and power factor setpoints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260AD0A4" w14:textId="77FD8712" w:rsidR="00BF7AAF" w:rsidRPr="00BF7AAF" w:rsidRDefault="00BF7AAF" w:rsidP="00BF7AAF">
            <w:pPr>
              <w:tabs>
                <w:tab w:val="left" w:pos="1980"/>
              </w:tabs>
              <w:spacing w:before="60" w:after="60"/>
              <w:ind w:left="170" w:hanging="17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1025BE6D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D5D5DA"/>
          </w:tcPr>
          <w:p w14:paraId="2E8F6ECE" w14:textId="123CA67D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bookmarkStart w:id="16" w:name="_Ref126756782"/>
            <w:r w:rsidRPr="00BF7AAF">
              <w:rPr>
                <w:rFonts w:ascii="Arial Nova" w:eastAsia="Arial Nova" w:hAnsi="Arial Nova" w:cs="Times New Roman"/>
                <w:sz w:val="16"/>
              </w:rPr>
              <w:t>Clarification of when multiple modes of operation are required</w:t>
            </w:r>
            <w:bookmarkEnd w:id="1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5BCADA4E" w14:textId="5433A64A" w:rsidR="00BF7AAF" w:rsidRPr="00BF7AAF" w:rsidRDefault="00BF7AAF" w:rsidP="00BF7AAF">
            <w:pPr>
              <w:numPr>
                <w:ilvl w:val="1"/>
                <w:numId w:val="0"/>
              </w:numPr>
              <w:tabs>
                <w:tab w:val="left" w:pos="1980"/>
              </w:tabs>
              <w:spacing w:before="60" w:after="60"/>
              <w:ind w:left="340" w:hanging="17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6970C3CA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D5D5DA"/>
          </w:tcPr>
          <w:p w14:paraId="1235EDEE" w14:textId="7253C1BF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Impact of a generating system on power system oscillation modes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74367D45" w14:textId="5C7F3C53" w:rsidR="00BF7AAF" w:rsidRPr="00BF7AAF" w:rsidRDefault="00BF7AAF" w:rsidP="00BF7AAF">
            <w:pPr>
              <w:tabs>
                <w:tab w:val="left" w:pos="1980"/>
              </w:tabs>
              <w:spacing w:before="60" w:after="60"/>
              <w:ind w:left="170" w:hanging="17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28057243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1" w:type="dxa"/>
            <w:gridSpan w:val="2"/>
            <w:shd w:val="clear" w:color="auto" w:fill="auto"/>
          </w:tcPr>
          <w:p w14:paraId="261402D0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bookmarkStart w:id="17" w:name="_Toc126244662"/>
          </w:p>
          <w:p w14:paraId="68BCA4A6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>Definition – continuous uninterrupted operation</w:t>
            </w:r>
            <w:bookmarkEnd w:id="17"/>
          </w:p>
        </w:tc>
      </w:tr>
      <w:tr w:rsidR="00BF7AAF" w:rsidRPr="00BF7AAF" w14:paraId="396CD483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D5D5DA"/>
          </w:tcPr>
          <w:p w14:paraId="73FD34C6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Recognition of frequency response mode, inertial response and active power response to an angle jump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4" w:type="dxa"/>
          </w:tcPr>
          <w:p w14:paraId="109EDC0F" w14:textId="183A1505" w:rsidR="00BF7AAF" w:rsidRPr="00BF7AAF" w:rsidRDefault="00BF7AAF" w:rsidP="00BF7AAF">
            <w:pPr>
              <w:tabs>
                <w:tab w:val="left" w:pos="1980"/>
              </w:tabs>
              <w:spacing w:before="60" w:after="60"/>
              <w:ind w:left="170" w:hanging="170"/>
              <w:rPr>
                <w:rFonts w:ascii="Arial Nova" w:eastAsia="Arial Nova" w:hAnsi="Arial Nova" w:cs="Times New Roman"/>
                <w:sz w:val="16"/>
              </w:rPr>
            </w:pPr>
          </w:p>
        </w:tc>
      </w:tr>
    </w:tbl>
    <w:p w14:paraId="1F216DC0" w14:textId="77777777" w:rsidR="00BF7AAF" w:rsidRPr="00BF7AAF" w:rsidRDefault="00BF7AAF" w:rsidP="00BF7AAF">
      <w:pPr>
        <w:keepNext/>
        <w:spacing w:before="300" w:after="120" w:line="240" w:lineRule="auto"/>
        <w:ind w:left="992" w:hanging="992"/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</w:pPr>
      <w:bookmarkStart w:id="18" w:name="_Toc128149223"/>
      <w:bookmarkStart w:id="19" w:name="_Toc128149224"/>
      <w:bookmarkEnd w:id="18"/>
      <w:r w:rsidRPr="00BF7AAF"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  <w:t>Schedule 5.3a Conditions for connection of MNSPs</w:t>
      </w:r>
      <w:bookmarkEnd w:id="19"/>
    </w:p>
    <w:tbl>
      <w:tblPr>
        <w:tblStyle w:val="AEMO-Table2"/>
        <w:tblW w:w="4875" w:type="pct"/>
        <w:tblLook w:val="00A0" w:firstRow="1" w:lastRow="0" w:firstColumn="1" w:lastColumn="0" w:noHBand="0" w:noVBand="0"/>
      </w:tblPr>
      <w:tblGrid>
        <w:gridCol w:w="3728"/>
        <w:gridCol w:w="11285"/>
      </w:tblGrid>
      <w:tr w:rsidR="00BF7AAF" w:rsidRPr="00BF7AAF" w14:paraId="42B2B8E5" w14:textId="77777777" w:rsidTr="00BF7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607C0F27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Issue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125E320C" w14:textId="29E0B570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Schedule 5.3a HVDC Recommendation</w:t>
            </w:r>
            <w:r w:rsidR="00402399">
              <w:rPr>
                <w:rFonts w:ascii="Arial Nova" w:eastAsia="Arial Nova" w:hAnsi="Arial Nova" w:cs="Times New Roman"/>
                <w:sz w:val="16"/>
              </w:rPr>
              <w:t xml:space="preserve"> feedback</w:t>
            </w:r>
          </w:p>
        </w:tc>
      </w:tr>
      <w:tr w:rsidR="00BF7AAF" w:rsidRPr="00BF7AAF" w14:paraId="52A6B589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gridSpan w:val="2"/>
            <w:shd w:val="clear" w:color="auto" w:fill="auto"/>
          </w:tcPr>
          <w:p w14:paraId="5D6C0E6B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bookmarkStart w:id="20" w:name="_Toc126932811"/>
          </w:p>
          <w:p w14:paraId="157207EC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>NER S5.3a.1a Introduction to the schedule</w:t>
            </w:r>
            <w:bookmarkEnd w:id="20"/>
          </w:p>
        </w:tc>
      </w:tr>
      <w:tr w:rsidR="00BF7AAF" w:rsidRPr="00BF7AAF" w14:paraId="154FEBA8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608F2993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Alignment of schedule with plant-type rather than registration category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40BC5D31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6E1A983F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gridSpan w:val="2"/>
            <w:shd w:val="clear" w:color="auto" w:fill="auto"/>
          </w:tcPr>
          <w:p w14:paraId="3610511E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bookmarkStart w:id="21" w:name="_Toc126932812"/>
          </w:p>
          <w:p w14:paraId="2B04B182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>NER S5.3a.8 – Reactive power capability</w:t>
            </w:r>
            <w:bookmarkEnd w:id="21"/>
          </w:p>
        </w:tc>
      </w:tr>
      <w:tr w:rsidR="00BF7AAF" w:rsidRPr="00BF7AAF" w14:paraId="7B48833D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0D4FA8CB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Reactive power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440B299F" w14:textId="074524A1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59F50EE9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gridSpan w:val="2"/>
            <w:shd w:val="clear" w:color="auto" w:fill="auto"/>
          </w:tcPr>
          <w:p w14:paraId="27DFAA21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bookmarkStart w:id="22" w:name="_Toc126932813"/>
          </w:p>
          <w:p w14:paraId="4A8E8E47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>NER S5.3a.13 – Market network service response to disturbances in the power system</w:t>
            </w:r>
            <w:bookmarkEnd w:id="22"/>
          </w:p>
        </w:tc>
      </w:tr>
      <w:tr w:rsidR="00BF7AAF" w:rsidRPr="00BF7AAF" w14:paraId="060B70FE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2949E7AC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lastRenderedPageBreak/>
              <w:t>Voltage disturbances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134981F6" w14:textId="029AF6BB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26411969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7FFA83B5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Frequency disturbances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15C4496A" w14:textId="0DF806EE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3AF90E44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2A78A9F0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Fault ride through requirements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721C1907" w14:textId="7F2E8544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789A11A6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gridSpan w:val="2"/>
            <w:shd w:val="clear" w:color="auto" w:fill="auto"/>
          </w:tcPr>
          <w:p w14:paraId="7FA50FC1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bookmarkStart w:id="23" w:name="_Toc126932814"/>
          </w:p>
          <w:p w14:paraId="7A5A6322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>NER S5.3a.4 – Monitoring and control requirements</w:t>
            </w:r>
            <w:bookmarkEnd w:id="23"/>
          </w:p>
        </w:tc>
      </w:tr>
      <w:tr w:rsidR="00BF7AAF" w:rsidRPr="00BF7AAF" w14:paraId="46476C0E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34EF0E40" w14:textId="0F60095C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Remote monitoring and protection against instability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520288D0" w14:textId="36BB8A60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479232F6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gridSpan w:val="2"/>
            <w:shd w:val="clear" w:color="auto" w:fill="auto"/>
          </w:tcPr>
          <w:p w14:paraId="3D091C6B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bookmarkStart w:id="24" w:name="_Toc126932815"/>
          </w:p>
          <w:p w14:paraId="21940BB7" w14:textId="2DCA8A9C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>New standards</w:t>
            </w:r>
            <w:bookmarkEnd w:id="24"/>
          </w:p>
        </w:tc>
      </w:tr>
      <w:tr w:rsidR="00BF7AAF" w:rsidRPr="00BF7AAF" w14:paraId="13F4C73E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4DA52D0B" w14:textId="1EACC5CE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Voltage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54BDE486" w14:textId="53B8445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F7AAF" w:rsidRPr="00BF7AAF" w14:paraId="121FA088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122C876A" w14:textId="652D2136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Active power dispatch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5153ACF9" w14:textId="5F2291AC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</w:tbl>
    <w:p w14:paraId="625E2D3D" w14:textId="77777777" w:rsidR="00BF7AAF" w:rsidRPr="00BF7AAF" w:rsidRDefault="00BF7AAF" w:rsidP="00BF7AAF">
      <w:pPr>
        <w:keepNext/>
        <w:spacing w:before="300" w:after="120" w:line="240" w:lineRule="auto"/>
        <w:ind w:left="992" w:hanging="992"/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</w:pPr>
      <w:bookmarkStart w:id="25" w:name="_Toc128149225"/>
      <w:bookmarkStart w:id="26" w:name="_Toc128149226"/>
      <w:bookmarkEnd w:id="25"/>
      <w:r w:rsidRPr="00BF7AAF"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  <w:t>Multiple Schedules</w:t>
      </w:r>
      <w:bookmarkEnd w:id="26"/>
    </w:p>
    <w:tbl>
      <w:tblPr>
        <w:tblStyle w:val="AEMO-Table2"/>
        <w:tblW w:w="4875" w:type="pct"/>
        <w:tblLook w:val="00A0" w:firstRow="1" w:lastRow="0" w:firstColumn="1" w:lastColumn="0" w:noHBand="0" w:noVBand="0"/>
      </w:tblPr>
      <w:tblGrid>
        <w:gridCol w:w="3728"/>
        <w:gridCol w:w="11285"/>
      </w:tblGrid>
      <w:tr w:rsidR="00BF7AAF" w:rsidRPr="00BF7AAF" w14:paraId="3932DF55" w14:textId="77777777" w:rsidTr="00BF7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51FA60F7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Issue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0D66BB7A" w14:textId="7AEB9A98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Multiple schedule Recommendation</w:t>
            </w:r>
            <w:r w:rsidR="00402399">
              <w:rPr>
                <w:rFonts w:ascii="Arial Nova" w:eastAsia="Arial Nova" w:hAnsi="Arial Nova" w:cs="Times New Roman"/>
                <w:sz w:val="16"/>
              </w:rPr>
              <w:t xml:space="preserve"> feedback</w:t>
            </w:r>
          </w:p>
        </w:tc>
      </w:tr>
      <w:tr w:rsidR="00BF7AAF" w:rsidRPr="00BF7AAF" w14:paraId="184639C7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gridSpan w:val="2"/>
            <w:shd w:val="clear" w:color="auto" w:fill="auto"/>
          </w:tcPr>
          <w:p w14:paraId="7599F14A" w14:textId="77777777" w:rsidR="00B53CCB" w:rsidRDefault="00B53CCB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 w:val="0"/>
                <w:bCs/>
                <w:sz w:val="16"/>
              </w:rPr>
            </w:pPr>
          </w:p>
          <w:p w14:paraId="6FAE9991" w14:textId="74622E5F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>NER Multiple clauses</w:t>
            </w:r>
          </w:p>
        </w:tc>
      </w:tr>
      <w:tr w:rsidR="00BF7AAF" w:rsidRPr="00BF7AAF" w14:paraId="5377272D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5923428F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 xml:space="preserve">References to superseded standards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38BD5BCA" w14:textId="4C3B6C0B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</w:tbl>
    <w:p w14:paraId="00BD2B02" w14:textId="77777777" w:rsidR="00BF7AAF" w:rsidRDefault="00BF7AAF"/>
    <w:p w14:paraId="47E9EBFF" w14:textId="77777777" w:rsidR="00BF450B" w:rsidRDefault="00BF450B"/>
    <w:p w14:paraId="43E5C77D" w14:textId="3C2073D2" w:rsidR="00B16743" w:rsidRDefault="00B16743">
      <w:r>
        <w:rPr>
          <w:b/>
          <w:bCs/>
        </w:rPr>
        <w:t>Confidentiality disclaimer</w:t>
      </w:r>
    </w:p>
    <w:p w14:paraId="697DAD07" w14:textId="3EF3488A" w:rsidR="00B16743" w:rsidRPr="005662B3" w:rsidRDefault="00B16743" w:rsidP="00B16743">
      <w:pPr>
        <w:spacing w:after="270" w:line="240" w:lineRule="auto"/>
        <w:textAlignment w:val="baseline"/>
        <w:rPr>
          <w:rFonts w:ascii="Arial Nova" w:eastAsia="Arial Nova" w:hAnsi="Arial Nova" w:cs="Times New Roman"/>
          <w:bCs/>
          <w:sz w:val="20"/>
          <w:szCs w:val="32"/>
        </w:rPr>
      </w:pPr>
      <w:r w:rsidRPr="005662B3">
        <w:rPr>
          <w:rFonts w:ascii="Arial Nova" w:eastAsia="Arial Nova" w:hAnsi="Arial Nova" w:cs="Times New Roman"/>
          <w:bCs/>
          <w:sz w:val="20"/>
          <w:szCs w:val="32"/>
        </w:rPr>
        <w:t>Under clause 5.2.6A(d)(2), AEMO is required to publish all submissions</w:t>
      </w:r>
      <w:r w:rsidR="00503B9B">
        <w:rPr>
          <w:rFonts w:ascii="Arial Nova" w:eastAsia="Arial Nova" w:hAnsi="Arial Nova" w:cs="Times New Roman"/>
          <w:bCs/>
          <w:sz w:val="20"/>
          <w:szCs w:val="32"/>
        </w:rPr>
        <w:t xml:space="preserve"> received about this Review</w:t>
      </w:r>
      <w:r w:rsidRPr="005662B3">
        <w:rPr>
          <w:rFonts w:ascii="Arial Nova" w:eastAsia="Arial Nova" w:hAnsi="Arial Nova" w:cs="Times New Roman"/>
          <w:bCs/>
          <w:sz w:val="20"/>
          <w:szCs w:val="32"/>
        </w:rPr>
        <w:t xml:space="preserve"> on its website. Please identify any part of your submission that is confidential, which you do not wish to be published. </w:t>
      </w:r>
      <w:r w:rsidR="004E7E67">
        <w:rPr>
          <w:rFonts w:ascii="Arial Nova" w:eastAsia="Arial Nova" w:hAnsi="Arial Nova" w:cs="Times New Roman"/>
          <w:bCs/>
          <w:sz w:val="20"/>
          <w:szCs w:val="32"/>
        </w:rPr>
        <w:t>Please</w:t>
      </w:r>
      <w:r w:rsidRPr="005662B3">
        <w:rPr>
          <w:rFonts w:ascii="Arial Nova" w:eastAsia="Arial Nova" w:hAnsi="Arial Nova" w:cs="Times New Roman"/>
          <w:bCs/>
          <w:sz w:val="20"/>
          <w:szCs w:val="32"/>
        </w:rPr>
        <w:t xml:space="preserve"> note that if material identified as confidential cannot be shared and validated with other interested persons, then it may be accorded less weight in AEMO</w:t>
      </w:r>
      <w:r w:rsidRPr="005662B3">
        <w:rPr>
          <w:rFonts w:ascii="Arial Nova" w:eastAsia="Arial Nova" w:hAnsi="Arial Nova" w:cs="Times New Roman" w:hint="eastAsia"/>
          <w:bCs/>
          <w:sz w:val="20"/>
          <w:szCs w:val="32"/>
        </w:rPr>
        <w:t>’</w:t>
      </w:r>
      <w:r w:rsidRPr="005662B3">
        <w:rPr>
          <w:rFonts w:ascii="Arial Nova" w:eastAsia="Arial Nova" w:hAnsi="Arial Nova" w:cs="Times New Roman"/>
          <w:bCs/>
          <w:sz w:val="20"/>
          <w:szCs w:val="32"/>
        </w:rPr>
        <w:t>s decision-making process than published material. AEMO prefers that submissions be forwarded in electronic format.</w:t>
      </w:r>
    </w:p>
    <w:p w14:paraId="4AD0CA55" w14:textId="77777777" w:rsidR="00B16743" w:rsidRPr="00B16743" w:rsidRDefault="00B16743"/>
    <w:sectPr w:rsidR="00B16743" w:rsidRPr="00B16743" w:rsidSect="007E0455">
      <w:headerReference w:type="default" r:id="rId12"/>
      <w:footerReference w:type="default" r:id="rId13"/>
      <w:pgSz w:w="16838" w:h="11906" w:orient="landscape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F946" w14:textId="77777777" w:rsidR="005E5AB6" w:rsidRDefault="005E5AB6" w:rsidP="00BF7AAF">
      <w:pPr>
        <w:spacing w:after="0" w:line="240" w:lineRule="auto"/>
      </w:pPr>
      <w:r>
        <w:separator/>
      </w:r>
    </w:p>
  </w:endnote>
  <w:endnote w:type="continuationSeparator" w:id="0">
    <w:p w14:paraId="0347ADAC" w14:textId="77777777" w:rsidR="005E5AB6" w:rsidRDefault="005E5AB6" w:rsidP="00BF7AAF">
      <w:pPr>
        <w:spacing w:after="0" w:line="240" w:lineRule="auto"/>
      </w:pPr>
      <w:r>
        <w:continuationSeparator/>
      </w:r>
    </w:p>
  </w:endnote>
  <w:endnote w:type="continuationNotice" w:id="1">
    <w:p w14:paraId="3C27BB50" w14:textId="77777777" w:rsidR="00D514D3" w:rsidRDefault="00D514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3A71" w14:textId="5F5BD49B" w:rsidR="00BF450B" w:rsidRPr="00A829F1" w:rsidRDefault="00AF1468">
    <w:pPr>
      <w:pStyle w:val="Footer"/>
      <w:rPr>
        <w:color w:val="6B3077" w:themeColor="accent1"/>
        <w:sz w:val="16"/>
        <w:szCs w:val="16"/>
      </w:rPr>
    </w:pPr>
    <w:r w:rsidRPr="00A829F1">
      <w:rPr>
        <w:b/>
        <w:color w:val="6B3077" w:themeColor="accent1"/>
        <w:sz w:val="16"/>
        <w:szCs w:val="16"/>
      </w:rPr>
      <w:t>Stakeholder feedback</w:t>
    </w:r>
    <w:r w:rsidRPr="00A829F1">
      <w:rPr>
        <w:color w:val="6B3077" w:themeColor="accent1"/>
        <w:sz w:val="16"/>
        <w:szCs w:val="16"/>
      </w:rPr>
      <w:t xml:space="preserve"> |</w:t>
    </w:r>
    <w:r w:rsidR="00611173" w:rsidRPr="00A829F1">
      <w:rPr>
        <w:color w:val="6B3077" w:themeColor="accent1"/>
        <w:sz w:val="16"/>
        <w:szCs w:val="16"/>
      </w:rPr>
      <w:t xml:space="preserve"> </w:t>
    </w:r>
    <w:sdt>
      <w:sdtPr>
        <w:rPr>
          <w:rFonts w:eastAsia="Arial Nova" w:cs="Times New Roman"/>
          <w:b/>
          <w:iCs/>
          <w:color w:val="6B3077" w:themeColor="accent1"/>
          <w:sz w:val="16"/>
          <w:szCs w:val="16"/>
        </w:rPr>
        <w:id w:val="589740514"/>
        <w:placeholder>
          <w:docPart w:val="A909A5C1DAB34D77AE3992262237230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Content>
        <w:r w:rsidR="00C93EFC">
          <w:rPr>
            <w:rFonts w:eastAsia="Arial Nova" w:cs="Times New Roman"/>
            <w:b/>
            <w:iCs/>
            <w:color w:val="6B3077" w:themeColor="accent1"/>
            <w:sz w:val="16"/>
            <w:szCs w:val="16"/>
          </w:rPr>
          <w:t>Organisation name</w:t>
        </w:r>
      </w:sdtContent>
    </w:sdt>
    <w:r w:rsidR="00515E93" w:rsidRPr="00A829F1">
      <w:rPr>
        <w:color w:val="6B3077" w:themeColor="accent1"/>
        <w:sz w:val="16"/>
        <w:szCs w:val="16"/>
      </w:rPr>
      <w:t xml:space="preserve"> </w:t>
    </w:r>
    <w:r w:rsidR="008F7DF6" w:rsidRPr="00A829F1">
      <w:rPr>
        <w:color w:val="6B3077" w:themeColor="accent1"/>
        <w:sz w:val="16"/>
        <w:szCs w:val="16"/>
      </w:rPr>
      <w:t xml:space="preserve">| </w:t>
    </w:r>
    <w:r w:rsidR="00AE3388" w:rsidRPr="00A829F1">
      <w:rPr>
        <w:color w:val="6B3077" w:themeColor="accent1"/>
        <w:sz w:val="16"/>
        <w:szCs w:val="16"/>
      </w:rPr>
      <w:t xml:space="preserve">AEMO review of technical requirements for connection under Schedules 5.2, 5.3 and 5.3a of the </w:t>
    </w:r>
    <w:r w:rsidR="003D43C8" w:rsidRPr="00A829F1">
      <w:rPr>
        <w:color w:val="6B3077" w:themeColor="accent1"/>
        <w:sz w:val="16"/>
        <w:szCs w:val="16"/>
      </w:rPr>
      <w:t>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3A72" w14:textId="77777777" w:rsidR="005E5AB6" w:rsidRDefault="005E5AB6" w:rsidP="00BF7AAF">
      <w:pPr>
        <w:spacing w:after="0" w:line="240" w:lineRule="auto"/>
      </w:pPr>
      <w:r>
        <w:separator/>
      </w:r>
    </w:p>
  </w:footnote>
  <w:footnote w:type="continuationSeparator" w:id="0">
    <w:p w14:paraId="359C2030" w14:textId="77777777" w:rsidR="005E5AB6" w:rsidRDefault="005E5AB6" w:rsidP="00BF7AAF">
      <w:pPr>
        <w:spacing w:after="0" w:line="240" w:lineRule="auto"/>
      </w:pPr>
      <w:r>
        <w:continuationSeparator/>
      </w:r>
    </w:p>
  </w:footnote>
  <w:footnote w:type="continuationNotice" w:id="1">
    <w:p w14:paraId="2284DF04" w14:textId="77777777" w:rsidR="00D514D3" w:rsidRDefault="00D514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CFAC" w14:textId="0A1CEA1B" w:rsidR="005858B1" w:rsidRDefault="005858B1">
    <w:pPr>
      <w:pStyle w:val="Header"/>
    </w:pPr>
    <w:r w:rsidRPr="00C06A2A">
      <w:rPr>
        <w:rFonts w:ascii="Century Gothic" w:hAnsi="Century Gothic"/>
        <w:b/>
        <w:bCs/>
        <w:noProof/>
        <w:color w:val="A3519B" w:themeColor="accent2"/>
        <w:sz w:val="52"/>
        <w:szCs w:val="52"/>
      </w:rPr>
      <w:drawing>
        <wp:anchor distT="0" distB="0" distL="114300" distR="114300" simplePos="0" relativeHeight="251658240" behindDoc="0" locked="0" layoutInCell="1" allowOverlap="1" wp14:anchorId="124DC64F" wp14:editId="57462F18">
          <wp:simplePos x="0" y="0"/>
          <wp:positionH relativeFrom="margin">
            <wp:align>right</wp:align>
          </wp:positionH>
          <wp:positionV relativeFrom="paragraph">
            <wp:posOffset>-397258</wp:posOffset>
          </wp:positionV>
          <wp:extent cx="1574800" cy="520700"/>
          <wp:effectExtent l="0" t="0" r="6350" b="0"/>
          <wp:wrapSquare wrapText="bothSides"/>
          <wp:docPr id="3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AF"/>
    <w:rsid w:val="000155BB"/>
    <w:rsid w:val="00025352"/>
    <w:rsid w:val="00025D88"/>
    <w:rsid w:val="000B0C8C"/>
    <w:rsid w:val="000B18A4"/>
    <w:rsid w:val="000C3434"/>
    <w:rsid w:val="000E5F6A"/>
    <w:rsid w:val="00112212"/>
    <w:rsid w:val="0011315A"/>
    <w:rsid w:val="001C1DC9"/>
    <w:rsid w:val="00251C9A"/>
    <w:rsid w:val="002A12B2"/>
    <w:rsid w:val="002B1B1B"/>
    <w:rsid w:val="002C07BF"/>
    <w:rsid w:val="002C4BFE"/>
    <w:rsid w:val="003010AA"/>
    <w:rsid w:val="003459EE"/>
    <w:rsid w:val="00351736"/>
    <w:rsid w:val="003568BC"/>
    <w:rsid w:val="00360D1E"/>
    <w:rsid w:val="0037159E"/>
    <w:rsid w:val="003A063F"/>
    <w:rsid w:val="003D43C8"/>
    <w:rsid w:val="004001F1"/>
    <w:rsid w:val="00402399"/>
    <w:rsid w:val="004133AB"/>
    <w:rsid w:val="0041771B"/>
    <w:rsid w:val="00433C8C"/>
    <w:rsid w:val="0047700E"/>
    <w:rsid w:val="00493118"/>
    <w:rsid w:val="004A3B63"/>
    <w:rsid w:val="004E7E67"/>
    <w:rsid w:val="00503B9B"/>
    <w:rsid w:val="00511586"/>
    <w:rsid w:val="00512B18"/>
    <w:rsid w:val="00515E93"/>
    <w:rsid w:val="00540A75"/>
    <w:rsid w:val="00553BCE"/>
    <w:rsid w:val="00561B86"/>
    <w:rsid w:val="005662B3"/>
    <w:rsid w:val="0058178B"/>
    <w:rsid w:val="005858B1"/>
    <w:rsid w:val="0059436E"/>
    <w:rsid w:val="005A06E9"/>
    <w:rsid w:val="005B15DD"/>
    <w:rsid w:val="005C4AC1"/>
    <w:rsid w:val="005D5A3C"/>
    <w:rsid w:val="005E5AB6"/>
    <w:rsid w:val="005F0A8F"/>
    <w:rsid w:val="00611173"/>
    <w:rsid w:val="00660B2E"/>
    <w:rsid w:val="00692768"/>
    <w:rsid w:val="006B3C5B"/>
    <w:rsid w:val="006E176C"/>
    <w:rsid w:val="006F4003"/>
    <w:rsid w:val="00713B8A"/>
    <w:rsid w:val="007234A7"/>
    <w:rsid w:val="00726650"/>
    <w:rsid w:val="00730767"/>
    <w:rsid w:val="00751A8F"/>
    <w:rsid w:val="007B1F5A"/>
    <w:rsid w:val="007D0A95"/>
    <w:rsid w:val="007E0455"/>
    <w:rsid w:val="00822A99"/>
    <w:rsid w:val="008260A7"/>
    <w:rsid w:val="00871EA4"/>
    <w:rsid w:val="008B5C8A"/>
    <w:rsid w:val="008F7DF6"/>
    <w:rsid w:val="00901BC2"/>
    <w:rsid w:val="00902F7E"/>
    <w:rsid w:val="00911C92"/>
    <w:rsid w:val="00945558"/>
    <w:rsid w:val="00973BD5"/>
    <w:rsid w:val="00990944"/>
    <w:rsid w:val="00990EB3"/>
    <w:rsid w:val="009957DB"/>
    <w:rsid w:val="009C24DD"/>
    <w:rsid w:val="00A453F7"/>
    <w:rsid w:val="00A55F2C"/>
    <w:rsid w:val="00A574B3"/>
    <w:rsid w:val="00A6338B"/>
    <w:rsid w:val="00A64EAB"/>
    <w:rsid w:val="00A66387"/>
    <w:rsid w:val="00A66B37"/>
    <w:rsid w:val="00A71142"/>
    <w:rsid w:val="00A75BE0"/>
    <w:rsid w:val="00A829F1"/>
    <w:rsid w:val="00A91FA9"/>
    <w:rsid w:val="00AD2F30"/>
    <w:rsid w:val="00AE3388"/>
    <w:rsid w:val="00AF1468"/>
    <w:rsid w:val="00AF59C5"/>
    <w:rsid w:val="00B0600F"/>
    <w:rsid w:val="00B1593B"/>
    <w:rsid w:val="00B16743"/>
    <w:rsid w:val="00B42822"/>
    <w:rsid w:val="00B53CCB"/>
    <w:rsid w:val="00B928F3"/>
    <w:rsid w:val="00B9375D"/>
    <w:rsid w:val="00BB10FD"/>
    <w:rsid w:val="00BF450B"/>
    <w:rsid w:val="00BF5554"/>
    <w:rsid w:val="00BF7AAF"/>
    <w:rsid w:val="00C236DA"/>
    <w:rsid w:val="00C25F71"/>
    <w:rsid w:val="00C31D08"/>
    <w:rsid w:val="00C66CDD"/>
    <w:rsid w:val="00C67D7A"/>
    <w:rsid w:val="00C93EFC"/>
    <w:rsid w:val="00CB2CD1"/>
    <w:rsid w:val="00CD2599"/>
    <w:rsid w:val="00CD6058"/>
    <w:rsid w:val="00D514D3"/>
    <w:rsid w:val="00D55591"/>
    <w:rsid w:val="00D80B24"/>
    <w:rsid w:val="00DA7608"/>
    <w:rsid w:val="00DF38CF"/>
    <w:rsid w:val="00E05F6B"/>
    <w:rsid w:val="00E36674"/>
    <w:rsid w:val="00E36F86"/>
    <w:rsid w:val="00E54480"/>
    <w:rsid w:val="00E57A85"/>
    <w:rsid w:val="00E745F4"/>
    <w:rsid w:val="00E80EF8"/>
    <w:rsid w:val="00E852F8"/>
    <w:rsid w:val="00F0287A"/>
    <w:rsid w:val="00F117D6"/>
    <w:rsid w:val="00F60D4E"/>
    <w:rsid w:val="00F6316B"/>
    <w:rsid w:val="00F75FAC"/>
    <w:rsid w:val="00F945E9"/>
    <w:rsid w:val="00FD5CBF"/>
    <w:rsid w:val="00FD619A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A6A0D"/>
  <w15:chartTrackingRefBased/>
  <w15:docId w15:val="{C57A5B7E-0F96-41EA-8686-B64151FE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F02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F2459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7A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AAF"/>
    <w:rPr>
      <w:sz w:val="20"/>
      <w:szCs w:val="20"/>
    </w:rPr>
  </w:style>
  <w:style w:type="table" w:customStyle="1" w:styleId="AEMO-Table2">
    <w:name w:val="AEMO - Table 2"/>
    <w:basedOn w:val="TableNormal"/>
    <w:uiPriority w:val="99"/>
    <w:rsid w:val="00BF7AAF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4" w:space="0" w:color="3C1053"/>
        <w:bottom w:val="single" w:sz="4" w:space="0" w:color="3C1053"/>
        <w:insideH w:val="single" w:sz="4" w:space="0" w:color="3C1053"/>
      </w:tblBorders>
    </w:tblPr>
    <w:tblStylePr w:type="firstRow">
      <w:rPr>
        <w:b/>
        <w:i w:val="0"/>
        <w:color w:val="3C1053"/>
      </w:rPr>
      <w:tblPr/>
      <w:trPr>
        <w:cantSplit/>
        <w:tblHeader/>
      </w:trPr>
      <w:tcPr>
        <w:shd w:val="clear" w:color="auto" w:fill="E6CEEB"/>
      </w:tcPr>
    </w:tblStylePr>
    <w:tblStylePr w:type="firstCol">
      <w:rPr>
        <w:b/>
        <w:i w:val="0"/>
      </w:rPr>
      <w:tblPr/>
      <w:tcPr>
        <w:shd w:val="clear" w:color="auto" w:fill="D9D9D9"/>
      </w:tcPr>
    </w:tblStylePr>
    <w:tblStylePr w:type="band1Vert">
      <w:tblPr/>
      <w:tcPr>
        <w:shd w:val="clear" w:color="auto" w:fill="EEEEF0"/>
      </w:tcPr>
    </w:tblStylePr>
  </w:style>
  <w:style w:type="character" w:styleId="FootnoteReference">
    <w:name w:val="footnote reference"/>
    <w:basedOn w:val="DefaultParagraphFont"/>
    <w:uiPriority w:val="99"/>
    <w:unhideWhenUsed/>
    <w:rsid w:val="00BF7AAF"/>
    <w:rPr>
      <w:vertAlign w:val="superscript"/>
    </w:rPr>
  </w:style>
  <w:style w:type="paragraph" w:customStyle="1" w:styleId="Heading-Nonumber">
    <w:name w:val="Heading - No number"/>
    <w:basedOn w:val="Normal"/>
    <w:next w:val="BodyText"/>
    <w:uiPriority w:val="8"/>
    <w:qFormat/>
    <w:rsid w:val="00B1593B"/>
    <w:pPr>
      <w:tabs>
        <w:tab w:val="left" w:pos="1980"/>
      </w:tabs>
      <w:spacing w:before="120" w:after="120" w:line="312" w:lineRule="auto"/>
    </w:pPr>
    <w:rPr>
      <w:rFonts w:asciiTheme="majorHAnsi" w:hAnsiTheme="majorHAnsi"/>
      <w:b/>
      <w:color w:val="6B3077" w:themeColor="accent1"/>
      <w:sz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B159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93B"/>
  </w:style>
  <w:style w:type="paragraph" w:styleId="Header">
    <w:name w:val="header"/>
    <w:basedOn w:val="Normal"/>
    <w:link w:val="HeaderChar"/>
    <w:uiPriority w:val="99"/>
    <w:unhideWhenUsed/>
    <w:rsid w:val="00585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B1"/>
  </w:style>
  <w:style w:type="paragraph" w:styleId="Footer">
    <w:name w:val="footer"/>
    <w:basedOn w:val="Normal"/>
    <w:link w:val="FooterChar"/>
    <w:uiPriority w:val="99"/>
    <w:unhideWhenUsed/>
    <w:rsid w:val="00585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B1"/>
  </w:style>
  <w:style w:type="paragraph" w:styleId="Revision">
    <w:name w:val="Revision"/>
    <w:hidden/>
    <w:uiPriority w:val="99"/>
    <w:semiHidden/>
    <w:rsid w:val="007D0A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6E9"/>
    <w:rPr>
      <w:color w:val="6B30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6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5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6FA3-4CFD-4F02-B9A3-B4B540ED2496}"/>
      </w:docPartPr>
      <w:docPartBody>
        <w:p w:rsidR="00000000" w:rsidRDefault="00CD1262">
          <w:r w:rsidRPr="00B869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9A5C1DAB34D77AE3992262237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8471-756B-4007-9247-100ACCF75DDF}"/>
      </w:docPartPr>
      <w:docPartBody>
        <w:p w:rsidR="00000000" w:rsidRDefault="00CD1262" w:rsidP="00CD1262">
          <w:pPr>
            <w:pStyle w:val="A909A5C1DAB34D77AE39922622372304"/>
          </w:pPr>
          <w:r w:rsidRPr="00B869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2"/>
    <w:rsid w:val="00C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262"/>
    <w:rPr>
      <w:color w:val="808080"/>
    </w:rPr>
  </w:style>
  <w:style w:type="paragraph" w:customStyle="1" w:styleId="BE95DFA1EC994E938E9780699DD241E1">
    <w:name w:val="BE95DFA1EC994E938E9780699DD241E1"/>
    <w:rsid w:val="00CD1262"/>
  </w:style>
  <w:style w:type="paragraph" w:customStyle="1" w:styleId="FEEC8E7B1E36418BB72FADEFFD864B0F">
    <w:name w:val="FEEC8E7B1E36418BB72FADEFFD864B0F"/>
    <w:rsid w:val="00CD1262"/>
  </w:style>
  <w:style w:type="paragraph" w:customStyle="1" w:styleId="A909A5C1DAB34D77AE39922622372304">
    <w:name w:val="A909A5C1DAB34D77AE39922622372304"/>
    <w:rsid w:val="00CD1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AEMO 2022 arial nova">
  <a:themeElements>
    <a:clrScheme name="AEMO 2022">
      <a:dk1>
        <a:srgbClr val="424242"/>
      </a:dk1>
      <a:lt1>
        <a:srgbClr val="FFFFFF"/>
      </a:lt1>
      <a:dk2>
        <a:srgbClr val="3C1053"/>
      </a:dk2>
      <a:lt2>
        <a:srgbClr val="EEEEF0"/>
      </a:lt2>
      <a:accent1>
        <a:srgbClr val="6B3077"/>
      </a:accent1>
      <a:accent2>
        <a:srgbClr val="A3519B"/>
      </a:accent2>
      <a:accent3>
        <a:srgbClr val="9B2241"/>
      </a:accent3>
      <a:accent4>
        <a:srgbClr val="FDD26E"/>
      </a:accent4>
      <a:accent5>
        <a:srgbClr val="A1D883"/>
      </a:accent5>
      <a:accent6>
        <a:srgbClr val="40C1AC"/>
      </a:accent6>
      <a:hlink>
        <a:srgbClr val="6B3077"/>
      </a:hlink>
      <a:folHlink>
        <a:srgbClr val="A3DBE8"/>
      </a:folHlink>
    </a:clrScheme>
    <a:fontScheme name="AEMO Arial Nova">
      <a:majorFont>
        <a:latin typeface="Century Gothic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1B19A6F8E4CB6247B85D02D2E90B7870" ma:contentTypeVersion="4" ma:contentTypeDescription="" ma:contentTypeScope="" ma:versionID="192a6d455fd99a07c986622fb0996e4c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d68f7543a35c08bd1d5d11d14fdc0ebd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1aaa4e7-f0c7-4ad0-ba93-12b5ab1910f5}" ma:internalName="TaxCatchAll" ma:showField="CatchAllData" ma:web="1ec8bf9b-3fea-41e4-8a05-a9f1b4ccb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1aaa4e7-f0c7-4ad0-ba93-12b5ab1910f5}" ma:internalName="TaxCatchAllLabel" ma:readOnly="true" ma:showField="CatchAllDataLabel" ma:web="1ec8bf9b-3fea-41e4-8a05-a9f1b4ccb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KeywordTaxHTField xmlns="5d1a2284-45bc-4927-a9f9-e51f9f17c21a">
      <Terms xmlns="http://schemas.microsoft.com/office/infopath/2007/PartnerControls"/>
    </TaxKeywordTaxHTField>
    <fc36bc6de0bf403e9ed4dec84c72e21e xmlns="5d1a2284-45bc-4927-a9f9-e51f9f17c21a">
      <Terms xmlns="http://schemas.microsoft.com/office/infopath/2007/PartnerControls"/>
    </fc36bc6de0bf403e9ed4dec84c72e21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5462-D4AD-4227-9B60-0A3E4CC7C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01074-7E6F-4B56-99F7-1EAC8504964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8298AED-66D5-4B11-B46C-4BF1A0EE9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69DC7-E60D-441E-B21D-0D6DC4F8DE4A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5d1a2284-45bc-4927-a9f9-e51f9f17c21a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467D3B0-304C-42EF-A8AC-77BFFC9C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Marinelli</dc:creator>
  <cp:keywords/>
  <dc:description>Organisation name</dc:description>
  <cp:lastModifiedBy>Fiona Reid</cp:lastModifiedBy>
  <cp:revision>84</cp:revision>
  <dcterms:created xsi:type="dcterms:W3CDTF">2023-02-28T04:41:00Z</dcterms:created>
  <dcterms:modified xsi:type="dcterms:W3CDTF">2023-03-02T03:09:00Z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941c47-a837-430d-8559-fd118a72769e_Enabled">
    <vt:lpwstr>true</vt:lpwstr>
  </property>
  <property fmtid="{D5CDD505-2E9C-101B-9397-08002B2CF9AE}" pid="3" name="MSIP_Label_c1941c47-a837-430d-8559-fd118a72769e_SetDate">
    <vt:lpwstr>2023-02-28T04:41:35Z</vt:lpwstr>
  </property>
  <property fmtid="{D5CDD505-2E9C-101B-9397-08002B2CF9AE}" pid="4" name="MSIP_Label_c1941c47-a837-430d-8559-fd118a72769e_Method">
    <vt:lpwstr>Standard</vt:lpwstr>
  </property>
  <property fmtid="{D5CDD505-2E9C-101B-9397-08002B2CF9AE}" pid="5" name="MSIP_Label_c1941c47-a837-430d-8559-fd118a72769e_Name">
    <vt:lpwstr>Internal</vt:lpwstr>
  </property>
  <property fmtid="{D5CDD505-2E9C-101B-9397-08002B2CF9AE}" pid="6" name="MSIP_Label_c1941c47-a837-430d-8559-fd118a72769e_SiteId">
    <vt:lpwstr>320c999e-3876-4ad0-b401-d241068e9e60</vt:lpwstr>
  </property>
  <property fmtid="{D5CDD505-2E9C-101B-9397-08002B2CF9AE}" pid="7" name="MSIP_Label_c1941c47-a837-430d-8559-fd118a72769e_ActionId">
    <vt:lpwstr>6464c770-ebee-4e59-b98b-855faeed5df8</vt:lpwstr>
  </property>
  <property fmtid="{D5CDD505-2E9C-101B-9397-08002B2CF9AE}" pid="8" name="MSIP_Label_c1941c47-a837-430d-8559-fd118a72769e_ContentBits">
    <vt:lpwstr>0</vt:lpwstr>
  </property>
  <property fmtid="{D5CDD505-2E9C-101B-9397-08002B2CF9AE}" pid="9" name="TaxKeyword">
    <vt:lpwstr/>
  </property>
  <property fmtid="{D5CDD505-2E9C-101B-9397-08002B2CF9AE}" pid="10" name="ContentTypeId">
    <vt:lpwstr>0x0101002F0B48F8F4F7904196E710056827A096001B19A6F8E4CB6247B85D02D2E90B7870</vt:lpwstr>
  </property>
  <property fmtid="{D5CDD505-2E9C-101B-9397-08002B2CF9AE}" pid="11" name="AEMO Collaboration Document Type">
    <vt:lpwstr/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