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4D50" w14:textId="77777777" w:rsidR="00C62FA2" w:rsidRDefault="00C62FA2">
      <w:pPr>
        <w:widowControl w:val="0"/>
        <w:autoSpaceDE w:val="0"/>
        <w:autoSpaceDN w:val="0"/>
        <w:adjustRightInd w:val="0"/>
        <w:spacing w:before="19" w:after="0" w:line="240" w:lineRule="auto"/>
        <w:ind w:left="7829"/>
        <w:rPr>
          <w:rFonts w:ascii="Times New Roman" w:hAnsi="Times New Roman"/>
          <w:sz w:val="20"/>
          <w:szCs w:val="20"/>
        </w:rPr>
      </w:pPr>
    </w:p>
    <w:p w14:paraId="2770B60E"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p>
    <w:p w14:paraId="2A04EF35"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A599FF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B5AAD27"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0B1BCFC"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DABE74A"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6D4D041"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D464DA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5D1E5CD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0DD1F3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E026846"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D673EBC" w14:textId="7CF7EA87" w:rsidR="002F2D5D" w:rsidRPr="002F2D5D" w:rsidRDefault="007F2FFD" w:rsidP="002F2D5D">
      <w:pPr>
        <w:widowControl w:val="0"/>
        <w:autoSpaceDE w:val="0"/>
        <w:autoSpaceDN w:val="0"/>
        <w:adjustRightInd w:val="0"/>
        <w:spacing w:before="25" w:after="0" w:line="226" w:lineRule="auto"/>
        <w:ind w:right="703" w:firstLine="720"/>
        <w:rPr>
          <w:rFonts w:ascii="Arial" w:hAnsi="Arial" w:cs="Arial"/>
          <w:color w:val="ED7D31"/>
          <w:sz w:val="48"/>
          <w:szCs w:val="48"/>
        </w:rPr>
      </w:pPr>
      <w:r>
        <w:rPr>
          <w:rFonts w:ascii="Arial" w:hAnsi="Arial" w:cs="Arial"/>
          <w:color w:val="ED7D31" w:themeColor="accent2"/>
          <w:sz w:val="48"/>
          <w:szCs w:val="48"/>
        </w:rPr>
        <w:t>UFE Reporting Guidelines</w:t>
      </w:r>
    </w:p>
    <w:p w14:paraId="2CDEB57F" w14:textId="77777777" w:rsidR="009A260E" w:rsidRPr="003A3033" w:rsidRDefault="009A260E" w:rsidP="002F2D5D">
      <w:pPr>
        <w:widowControl w:val="0"/>
        <w:autoSpaceDE w:val="0"/>
        <w:autoSpaceDN w:val="0"/>
        <w:adjustRightInd w:val="0"/>
        <w:spacing w:before="25" w:after="0" w:line="226" w:lineRule="auto"/>
        <w:ind w:right="703" w:firstLine="720"/>
        <w:rPr>
          <w:rFonts w:ascii="Arial" w:hAnsi="Arial" w:cs="Arial"/>
          <w:color w:val="ED7D31"/>
          <w:sz w:val="48"/>
          <w:szCs w:val="48"/>
        </w:rPr>
      </w:pPr>
    </w:p>
    <w:p w14:paraId="76E5A512" w14:textId="77777777" w:rsidR="001C4CCA" w:rsidRDefault="001C4CCA">
      <w:pPr>
        <w:widowControl w:val="0"/>
        <w:autoSpaceDE w:val="0"/>
        <w:autoSpaceDN w:val="0"/>
        <w:adjustRightInd w:val="0"/>
        <w:spacing w:before="25" w:after="0" w:line="226" w:lineRule="auto"/>
        <w:ind w:left="827" w:right="703"/>
        <w:rPr>
          <w:rFonts w:ascii="Arial" w:hAnsi="Arial" w:cs="Arial"/>
          <w:color w:val="001F5F"/>
          <w:sz w:val="48"/>
          <w:szCs w:val="48"/>
        </w:rPr>
      </w:pPr>
    </w:p>
    <w:p w14:paraId="62FA9EDF" w14:textId="77777777" w:rsidR="001C4CCA" w:rsidRDefault="001C4CCA" w:rsidP="001C4CCA">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w:t>
      </w:r>
    </w:p>
    <w:p w14:paraId="78693FE6" w14:textId="77777777" w:rsidR="007B3206" w:rsidRDefault="007B3206" w:rsidP="007B3206">
      <w:pPr>
        <w:widowControl w:val="0"/>
        <w:autoSpaceDE w:val="0"/>
        <w:autoSpaceDN w:val="0"/>
        <w:adjustRightInd w:val="0"/>
        <w:spacing w:before="25" w:after="0" w:line="226" w:lineRule="auto"/>
        <w:ind w:left="720" w:right="703"/>
        <w:rPr>
          <w:rFonts w:ascii="Arial" w:hAnsi="Arial" w:cs="Arial"/>
          <w:color w:val="001F5F"/>
          <w:sz w:val="48"/>
          <w:szCs w:val="48"/>
        </w:rPr>
      </w:pPr>
    </w:p>
    <w:p w14:paraId="78C554E9" w14:textId="72DC36D0" w:rsidR="001C4CCA" w:rsidRDefault="0013195B" w:rsidP="007B3206">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 xml:space="preserve">FIRST STAGE </w:t>
      </w:r>
      <w:r w:rsidR="00B96ABD">
        <w:rPr>
          <w:rFonts w:ascii="Arial" w:hAnsi="Arial" w:cs="Arial"/>
          <w:color w:val="001F5F"/>
          <w:sz w:val="48"/>
          <w:szCs w:val="48"/>
        </w:rPr>
        <w:t xml:space="preserve">CONSULTATION </w:t>
      </w:r>
      <w:r w:rsidR="001C4CCA">
        <w:rPr>
          <w:rFonts w:ascii="Arial" w:hAnsi="Arial" w:cs="Arial"/>
          <w:color w:val="001F5F"/>
          <w:sz w:val="48"/>
          <w:szCs w:val="48"/>
        </w:rPr>
        <w:t xml:space="preserve">PARTICIPANT RESPONSE </w:t>
      </w:r>
      <w:r w:rsidR="007B3206">
        <w:rPr>
          <w:rFonts w:ascii="Arial" w:hAnsi="Arial" w:cs="Arial"/>
          <w:color w:val="001F5F"/>
          <w:sz w:val="48"/>
          <w:szCs w:val="48"/>
        </w:rPr>
        <w:t>TEMPLATE</w:t>
      </w:r>
    </w:p>
    <w:p w14:paraId="4557605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416A5A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3DE6B56" w14:textId="77777777" w:rsidR="00C62FA2" w:rsidRDefault="00C62FA2">
      <w:pPr>
        <w:widowControl w:val="0"/>
        <w:autoSpaceDE w:val="0"/>
        <w:autoSpaceDN w:val="0"/>
        <w:adjustRightInd w:val="0"/>
        <w:spacing w:before="15" w:after="0" w:line="240" w:lineRule="exact"/>
        <w:rPr>
          <w:rFonts w:ascii="Arial" w:hAnsi="Arial" w:cs="Arial"/>
          <w:color w:val="000000"/>
          <w:sz w:val="24"/>
          <w:szCs w:val="24"/>
        </w:rPr>
      </w:pPr>
    </w:p>
    <w:p w14:paraId="76C89064" w14:textId="77777777" w:rsidR="00C62FA2" w:rsidRDefault="00C62FA2">
      <w:pPr>
        <w:widowControl w:val="0"/>
        <w:autoSpaceDE w:val="0"/>
        <w:autoSpaceDN w:val="0"/>
        <w:adjustRightInd w:val="0"/>
        <w:spacing w:before="3" w:after="0" w:line="190" w:lineRule="exact"/>
        <w:rPr>
          <w:rFonts w:ascii="Arial" w:hAnsi="Arial" w:cs="Arial"/>
          <w:color w:val="000000"/>
          <w:sz w:val="19"/>
          <w:szCs w:val="19"/>
        </w:rPr>
      </w:pPr>
    </w:p>
    <w:p w14:paraId="0758377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E551391" w14:textId="26AE3917" w:rsidR="00C62FA2" w:rsidRDefault="00C62FA2">
      <w:pPr>
        <w:widowControl w:val="0"/>
        <w:autoSpaceDE w:val="0"/>
        <w:autoSpaceDN w:val="0"/>
        <w:adjustRightInd w:val="0"/>
        <w:spacing w:after="0" w:line="240" w:lineRule="auto"/>
        <w:ind w:left="827"/>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14:paraId="00DC9020" w14:textId="77777777" w:rsidR="001C4CCA" w:rsidRDefault="001C4CCA">
      <w:pPr>
        <w:widowControl w:val="0"/>
        <w:autoSpaceDE w:val="0"/>
        <w:autoSpaceDN w:val="0"/>
        <w:adjustRightInd w:val="0"/>
        <w:spacing w:after="0" w:line="240" w:lineRule="auto"/>
        <w:ind w:left="827"/>
        <w:rPr>
          <w:rFonts w:ascii="Arial" w:hAnsi="Arial" w:cs="Arial"/>
          <w:color w:val="000000"/>
          <w:sz w:val="32"/>
          <w:szCs w:val="32"/>
        </w:rPr>
      </w:pPr>
    </w:p>
    <w:p w14:paraId="2891C510" w14:textId="77777777" w:rsidR="00C62FA2" w:rsidRDefault="00C62FA2">
      <w:pPr>
        <w:widowControl w:val="0"/>
        <w:autoSpaceDE w:val="0"/>
        <w:autoSpaceDN w:val="0"/>
        <w:adjustRightInd w:val="0"/>
        <w:spacing w:before="1" w:after="0" w:line="200" w:lineRule="exact"/>
        <w:rPr>
          <w:rFonts w:ascii="Arial" w:hAnsi="Arial" w:cs="Arial"/>
          <w:color w:val="000000"/>
          <w:sz w:val="20"/>
          <w:szCs w:val="20"/>
        </w:rPr>
      </w:pPr>
    </w:p>
    <w:p w14:paraId="7B41BB72" w14:textId="1BC0254D" w:rsidR="00C62FA2" w:rsidRDefault="00C83277">
      <w:pPr>
        <w:widowControl w:val="0"/>
        <w:autoSpaceDE w:val="0"/>
        <w:autoSpaceDN w:val="0"/>
        <w:adjustRightInd w:val="0"/>
        <w:spacing w:after="0" w:line="361" w:lineRule="exact"/>
        <w:ind w:left="827"/>
        <w:rPr>
          <w:rFonts w:ascii="Arial" w:hAnsi="Arial" w:cs="Arial"/>
          <w:color w:val="000000"/>
          <w:sz w:val="32"/>
          <w:szCs w:val="32"/>
        </w:rPr>
      </w:pPr>
      <w:r>
        <w:rPr>
          <w:rFonts w:ascii="Arial" w:hAnsi="Arial" w:cs="Arial"/>
          <w:b/>
          <w:bCs/>
          <w:i/>
          <w:iCs/>
          <w:color w:val="001F5F"/>
          <w:position w:val="-1"/>
          <w:sz w:val="32"/>
          <w:szCs w:val="32"/>
        </w:rPr>
        <w:t>Submission</w:t>
      </w:r>
      <w:r w:rsidR="00C62FA2">
        <w:rPr>
          <w:rFonts w:ascii="Arial" w:hAnsi="Arial" w:cs="Arial"/>
          <w:b/>
          <w:bCs/>
          <w:i/>
          <w:iCs/>
          <w:color w:val="001F5F"/>
          <w:spacing w:val="-15"/>
          <w:position w:val="-1"/>
          <w:sz w:val="32"/>
          <w:szCs w:val="32"/>
        </w:rPr>
        <w:t xml:space="preserve"> </w:t>
      </w:r>
      <w:r w:rsidR="00C62FA2">
        <w:rPr>
          <w:rFonts w:ascii="Arial" w:hAnsi="Arial" w:cs="Arial"/>
          <w:b/>
          <w:bCs/>
          <w:i/>
          <w:iCs/>
          <w:color w:val="001F5F"/>
          <w:position w:val="-1"/>
          <w:sz w:val="32"/>
          <w:szCs w:val="32"/>
        </w:rPr>
        <w:t>Da</w:t>
      </w:r>
      <w:r w:rsidR="00C62FA2">
        <w:rPr>
          <w:rFonts w:ascii="Arial" w:hAnsi="Arial" w:cs="Arial"/>
          <w:b/>
          <w:bCs/>
          <w:i/>
          <w:iCs/>
          <w:color w:val="001F5F"/>
          <w:spacing w:val="2"/>
          <w:position w:val="-1"/>
          <w:sz w:val="32"/>
          <w:szCs w:val="32"/>
        </w:rPr>
        <w:t>t</w:t>
      </w:r>
      <w:r w:rsidR="00C62FA2">
        <w:rPr>
          <w:rFonts w:ascii="Arial" w:hAnsi="Arial" w:cs="Arial"/>
          <w:b/>
          <w:bCs/>
          <w:i/>
          <w:iCs/>
          <w:color w:val="001F5F"/>
          <w:spacing w:val="1"/>
          <w:position w:val="-1"/>
          <w:sz w:val="32"/>
          <w:szCs w:val="32"/>
        </w:rPr>
        <w:t>e</w:t>
      </w:r>
      <w:r w:rsidR="00C62FA2">
        <w:rPr>
          <w:rFonts w:ascii="Arial" w:hAnsi="Arial" w:cs="Arial"/>
          <w:i/>
          <w:iCs/>
          <w:color w:val="001F5F"/>
          <w:position w:val="-1"/>
          <w:sz w:val="32"/>
          <w:szCs w:val="32"/>
        </w:rPr>
        <w:t>:</w:t>
      </w:r>
      <w:r w:rsidR="00C62FA2">
        <w:rPr>
          <w:rFonts w:ascii="Arial" w:hAnsi="Arial" w:cs="Arial"/>
          <w:i/>
          <w:iCs/>
          <w:color w:val="001F5F"/>
          <w:spacing w:val="-7"/>
          <w:position w:val="-1"/>
          <w:sz w:val="32"/>
          <w:szCs w:val="32"/>
        </w:rPr>
        <w:t xml:space="preserve"> </w:t>
      </w:r>
    </w:p>
    <w:p w14:paraId="23C0F871"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D07D8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0FDEB8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840789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C5E689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CDFEDE9"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5B6B0D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CAA7CC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382786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F51B62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CC69D0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A824CA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3C2ED3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814502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E546A0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773367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9FCB94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F5DFC3D"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3A2A9C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57BCEA"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AF7286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6D52D78"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B3DFD5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42D5EB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B9706A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BE6A6F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A9FD5B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0D625E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7985C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B0F1D1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DDB820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918006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8D3B87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D59B481" w14:textId="77777777" w:rsidR="00C62FA2" w:rsidRDefault="00C62FA2">
      <w:pPr>
        <w:widowControl w:val="0"/>
        <w:autoSpaceDE w:val="0"/>
        <w:autoSpaceDN w:val="0"/>
        <w:adjustRightInd w:val="0"/>
        <w:spacing w:before="5" w:after="0" w:line="220" w:lineRule="exact"/>
        <w:rPr>
          <w:rFonts w:ascii="Arial" w:hAnsi="Arial" w:cs="Arial"/>
          <w:color w:val="000000"/>
        </w:rPr>
      </w:pPr>
    </w:p>
    <w:p w14:paraId="756EA6EE" w14:textId="77777777" w:rsidR="00C62FA2" w:rsidRDefault="00C62FA2">
      <w:pPr>
        <w:widowControl w:val="0"/>
        <w:autoSpaceDE w:val="0"/>
        <w:autoSpaceDN w:val="0"/>
        <w:adjustRightInd w:val="0"/>
        <w:spacing w:before="34" w:after="0" w:line="240" w:lineRule="auto"/>
        <w:ind w:left="119"/>
        <w:rPr>
          <w:rFonts w:ascii="Arial" w:hAnsi="Arial" w:cs="Arial"/>
          <w:color w:val="000000"/>
          <w:sz w:val="20"/>
          <w:szCs w:val="20"/>
        </w:rPr>
      </w:pPr>
    </w:p>
    <w:p w14:paraId="3106F238" w14:textId="77777777" w:rsidR="00E33744" w:rsidRDefault="00E33744">
      <w:pPr>
        <w:rPr>
          <w:b/>
          <w:bCs/>
          <w:noProof/>
        </w:rPr>
      </w:pPr>
    </w:p>
    <w:p w14:paraId="72872EA0" w14:textId="77777777" w:rsidR="008131CE" w:rsidRDefault="008131CE">
      <w:pPr>
        <w:rPr>
          <w:b/>
          <w:bCs/>
          <w:noProof/>
        </w:rPr>
      </w:pPr>
    </w:p>
    <w:p w14:paraId="471499A0" w14:textId="77777777" w:rsidR="00CC381C" w:rsidRDefault="00CC381C" w:rsidP="00CC381C">
      <w:pPr>
        <w:pStyle w:val="TOCHeading"/>
        <w:numPr>
          <w:ilvl w:val="0"/>
          <w:numId w:val="0"/>
        </w:numPr>
        <w:rPr>
          <w:rFonts w:ascii="Calibri" w:hAnsi="Calibri"/>
          <w:color w:val="1F3864"/>
          <w:sz w:val="22"/>
          <w:szCs w:val="22"/>
          <w:lang w:val="en-AU" w:eastAsia="en-AU"/>
        </w:rPr>
      </w:pPr>
    </w:p>
    <w:p w14:paraId="7C565F5F" w14:textId="77777777" w:rsidR="008131CE" w:rsidRDefault="008131CE" w:rsidP="00CC381C">
      <w:pPr>
        <w:pStyle w:val="TOCHeading"/>
        <w:numPr>
          <w:ilvl w:val="0"/>
          <w:numId w:val="0"/>
        </w:numPr>
      </w:pPr>
      <w:r>
        <w:t>Table of Contents</w:t>
      </w:r>
    </w:p>
    <w:p w14:paraId="1895ADF5" w14:textId="77777777" w:rsidR="00C6681E" w:rsidRPr="00C6681E" w:rsidRDefault="00C6681E" w:rsidP="00C6681E">
      <w:pPr>
        <w:rPr>
          <w:lang w:val="en-US" w:eastAsia="en-US"/>
        </w:rPr>
      </w:pPr>
    </w:p>
    <w:p w14:paraId="78F1520D" w14:textId="68202B0B" w:rsidR="007538AD" w:rsidRDefault="00D6187A">
      <w:pPr>
        <w:pStyle w:val="TOC1"/>
        <w:tabs>
          <w:tab w:val="left" w:pos="440"/>
          <w:tab w:val="right" w:leader="dot" w:pos="10150"/>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109659467" w:history="1">
        <w:r w:rsidR="007538AD" w:rsidRPr="00CE4F29">
          <w:rPr>
            <w:rStyle w:val="Hyperlink"/>
            <w:noProof/>
          </w:rPr>
          <w:t>1.</w:t>
        </w:r>
        <w:r w:rsidR="007538AD">
          <w:rPr>
            <w:rFonts w:asciiTheme="minorHAnsi" w:eastAsiaTheme="minorEastAsia" w:hAnsiTheme="minorHAnsi" w:cstheme="minorBidi"/>
            <w:noProof/>
            <w:color w:val="auto"/>
          </w:rPr>
          <w:tab/>
        </w:r>
        <w:r w:rsidR="007538AD" w:rsidRPr="00CE4F29">
          <w:rPr>
            <w:rStyle w:val="Hyperlink"/>
            <w:noProof/>
          </w:rPr>
          <w:t>Context</w:t>
        </w:r>
        <w:r w:rsidR="007538AD">
          <w:rPr>
            <w:noProof/>
            <w:webHidden/>
          </w:rPr>
          <w:tab/>
        </w:r>
        <w:r w:rsidR="007538AD">
          <w:rPr>
            <w:noProof/>
            <w:webHidden/>
          </w:rPr>
          <w:fldChar w:fldCharType="begin"/>
        </w:r>
        <w:r w:rsidR="007538AD">
          <w:rPr>
            <w:noProof/>
            <w:webHidden/>
          </w:rPr>
          <w:instrText xml:space="preserve"> PAGEREF _Toc109659467 \h </w:instrText>
        </w:r>
        <w:r w:rsidR="007538AD">
          <w:rPr>
            <w:noProof/>
            <w:webHidden/>
          </w:rPr>
        </w:r>
        <w:r w:rsidR="007538AD">
          <w:rPr>
            <w:noProof/>
            <w:webHidden/>
          </w:rPr>
          <w:fldChar w:fldCharType="separate"/>
        </w:r>
        <w:r w:rsidR="007538AD">
          <w:rPr>
            <w:noProof/>
            <w:webHidden/>
          </w:rPr>
          <w:t>3</w:t>
        </w:r>
        <w:r w:rsidR="007538AD">
          <w:rPr>
            <w:noProof/>
            <w:webHidden/>
          </w:rPr>
          <w:fldChar w:fldCharType="end"/>
        </w:r>
      </w:hyperlink>
    </w:p>
    <w:p w14:paraId="5CE5B0EF" w14:textId="5A28EEE5" w:rsidR="007538AD" w:rsidRDefault="00731201">
      <w:pPr>
        <w:pStyle w:val="TOC1"/>
        <w:tabs>
          <w:tab w:val="left" w:pos="440"/>
          <w:tab w:val="right" w:leader="dot" w:pos="10150"/>
        </w:tabs>
        <w:rPr>
          <w:rFonts w:asciiTheme="minorHAnsi" w:eastAsiaTheme="minorEastAsia" w:hAnsiTheme="minorHAnsi" w:cstheme="minorBidi"/>
          <w:noProof/>
          <w:color w:val="auto"/>
        </w:rPr>
      </w:pPr>
      <w:hyperlink w:anchor="_Toc109659468" w:history="1">
        <w:r w:rsidR="007538AD" w:rsidRPr="00CE4F29">
          <w:rPr>
            <w:rStyle w:val="Hyperlink"/>
            <w:noProof/>
          </w:rPr>
          <w:t>2.</w:t>
        </w:r>
        <w:r w:rsidR="007538AD">
          <w:rPr>
            <w:rFonts w:asciiTheme="minorHAnsi" w:eastAsiaTheme="minorEastAsia" w:hAnsiTheme="minorHAnsi" w:cstheme="minorBidi"/>
            <w:noProof/>
            <w:color w:val="auto"/>
          </w:rPr>
          <w:tab/>
        </w:r>
        <w:r w:rsidR="007538AD" w:rsidRPr="00CE4F29">
          <w:rPr>
            <w:rStyle w:val="Hyperlink"/>
            <w:noProof/>
          </w:rPr>
          <w:t>Questions</w:t>
        </w:r>
        <w:r w:rsidR="007538AD">
          <w:rPr>
            <w:noProof/>
            <w:webHidden/>
          </w:rPr>
          <w:tab/>
        </w:r>
        <w:r w:rsidR="007538AD">
          <w:rPr>
            <w:noProof/>
            <w:webHidden/>
          </w:rPr>
          <w:fldChar w:fldCharType="begin"/>
        </w:r>
        <w:r w:rsidR="007538AD">
          <w:rPr>
            <w:noProof/>
            <w:webHidden/>
          </w:rPr>
          <w:instrText xml:space="preserve"> PAGEREF _Toc109659468 \h </w:instrText>
        </w:r>
        <w:r w:rsidR="007538AD">
          <w:rPr>
            <w:noProof/>
            <w:webHidden/>
          </w:rPr>
        </w:r>
        <w:r w:rsidR="007538AD">
          <w:rPr>
            <w:noProof/>
            <w:webHidden/>
          </w:rPr>
          <w:fldChar w:fldCharType="separate"/>
        </w:r>
        <w:r w:rsidR="007538AD">
          <w:rPr>
            <w:noProof/>
            <w:webHidden/>
          </w:rPr>
          <w:t>3</w:t>
        </w:r>
        <w:r w:rsidR="007538AD">
          <w:rPr>
            <w:noProof/>
            <w:webHidden/>
          </w:rPr>
          <w:fldChar w:fldCharType="end"/>
        </w:r>
      </w:hyperlink>
    </w:p>
    <w:p w14:paraId="72C1B689" w14:textId="038DD21B" w:rsidR="007538AD" w:rsidRDefault="00731201">
      <w:pPr>
        <w:pStyle w:val="TOC1"/>
        <w:tabs>
          <w:tab w:val="left" w:pos="440"/>
          <w:tab w:val="right" w:leader="dot" w:pos="10150"/>
        </w:tabs>
        <w:rPr>
          <w:rFonts w:asciiTheme="minorHAnsi" w:eastAsiaTheme="minorEastAsia" w:hAnsiTheme="minorHAnsi" w:cstheme="minorBidi"/>
          <w:noProof/>
          <w:color w:val="auto"/>
        </w:rPr>
      </w:pPr>
      <w:hyperlink w:anchor="_Toc109659469" w:history="1">
        <w:r w:rsidR="007538AD" w:rsidRPr="00CE4F29">
          <w:rPr>
            <w:rStyle w:val="Hyperlink"/>
            <w:noProof/>
          </w:rPr>
          <w:t>3.</w:t>
        </w:r>
        <w:r w:rsidR="007538AD">
          <w:rPr>
            <w:rFonts w:asciiTheme="minorHAnsi" w:eastAsiaTheme="minorEastAsia" w:hAnsiTheme="minorHAnsi" w:cstheme="minorBidi"/>
            <w:noProof/>
            <w:color w:val="auto"/>
          </w:rPr>
          <w:tab/>
        </w:r>
        <w:r w:rsidR="007538AD" w:rsidRPr="00CE4F29">
          <w:rPr>
            <w:rStyle w:val="Hyperlink"/>
            <w:noProof/>
          </w:rPr>
          <w:t>Other Issues Related to the UFE Reporting Guidelines</w:t>
        </w:r>
        <w:r w:rsidR="007538AD">
          <w:rPr>
            <w:noProof/>
            <w:webHidden/>
          </w:rPr>
          <w:tab/>
        </w:r>
        <w:r w:rsidR="007538AD">
          <w:rPr>
            <w:noProof/>
            <w:webHidden/>
          </w:rPr>
          <w:fldChar w:fldCharType="begin"/>
        </w:r>
        <w:r w:rsidR="007538AD">
          <w:rPr>
            <w:noProof/>
            <w:webHidden/>
          </w:rPr>
          <w:instrText xml:space="preserve"> PAGEREF _Toc109659469 \h </w:instrText>
        </w:r>
        <w:r w:rsidR="007538AD">
          <w:rPr>
            <w:noProof/>
            <w:webHidden/>
          </w:rPr>
        </w:r>
        <w:r w:rsidR="007538AD">
          <w:rPr>
            <w:noProof/>
            <w:webHidden/>
          </w:rPr>
          <w:fldChar w:fldCharType="separate"/>
        </w:r>
        <w:r w:rsidR="007538AD">
          <w:rPr>
            <w:noProof/>
            <w:webHidden/>
          </w:rPr>
          <w:t>5</w:t>
        </w:r>
        <w:r w:rsidR="007538AD">
          <w:rPr>
            <w:noProof/>
            <w:webHidden/>
          </w:rPr>
          <w:fldChar w:fldCharType="end"/>
        </w:r>
      </w:hyperlink>
    </w:p>
    <w:p w14:paraId="5AE3D79E" w14:textId="0C848D53" w:rsidR="008131CE" w:rsidRDefault="00D6187A">
      <w:r>
        <w:fldChar w:fldCharType="end"/>
      </w:r>
    </w:p>
    <w:p w14:paraId="71D3B9B0"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headerReference w:type="default" r:id="rId12"/>
          <w:pgSz w:w="11920" w:h="16860"/>
          <w:pgMar w:top="-20" w:right="460" w:bottom="280" w:left="1300" w:header="720" w:footer="720" w:gutter="0"/>
          <w:cols w:space="720"/>
          <w:noEndnote/>
        </w:sectPr>
      </w:pPr>
    </w:p>
    <w:p w14:paraId="6287875A" w14:textId="77777777" w:rsidR="008D6BAC" w:rsidRPr="008D6BAC" w:rsidRDefault="008D6BAC" w:rsidP="008D6BAC">
      <w:pPr>
        <w:pStyle w:val="Heading1"/>
      </w:pPr>
      <w:bookmarkStart w:id="0" w:name="_Toc109659467"/>
      <w:bookmarkStart w:id="1" w:name="_Toc288746361"/>
      <w:r w:rsidRPr="008D6BAC">
        <w:lastRenderedPageBreak/>
        <w:t>Context</w:t>
      </w:r>
      <w:bookmarkEnd w:id="0"/>
    </w:p>
    <w:p w14:paraId="04606FA0" w14:textId="093E5C3A" w:rsidR="008D6BAC" w:rsidRDefault="008D6BAC" w:rsidP="008D6BAC">
      <w:pPr>
        <w:pStyle w:val="TableTitle"/>
        <w:spacing w:before="120" w:after="120"/>
        <w:rPr>
          <w:b w:val="0"/>
          <w:bCs w:val="0"/>
          <w:color w:val="1E4164"/>
          <w:sz w:val="22"/>
          <w:szCs w:val="22"/>
        </w:rPr>
      </w:pPr>
      <w:r w:rsidRPr="1C63998C">
        <w:rPr>
          <w:b w:val="0"/>
          <w:bCs w:val="0"/>
          <w:color w:val="1E4164"/>
          <w:sz w:val="22"/>
          <w:szCs w:val="22"/>
        </w:rPr>
        <w:t xml:space="preserve">This template </w:t>
      </w:r>
      <w:r w:rsidR="00D22060" w:rsidRPr="1C63998C">
        <w:rPr>
          <w:b w:val="0"/>
          <w:bCs w:val="0"/>
          <w:color w:val="1E4164"/>
          <w:sz w:val="22"/>
          <w:szCs w:val="22"/>
        </w:rPr>
        <w:t>is</w:t>
      </w:r>
      <w:r w:rsidRPr="1C63998C">
        <w:rPr>
          <w:b w:val="0"/>
          <w:bCs w:val="0"/>
          <w:color w:val="1E4164"/>
          <w:sz w:val="22"/>
          <w:szCs w:val="22"/>
        </w:rPr>
        <w:t xml:space="preserve"> to assist </w:t>
      </w:r>
      <w:r w:rsidR="00032608" w:rsidRPr="1C63998C">
        <w:rPr>
          <w:b w:val="0"/>
          <w:bCs w:val="0"/>
          <w:color w:val="1E4164"/>
          <w:sz w:val="22"/>
          <w:szCs w:val="22"/>
        </w:rPr>
        <w:t>stakeholders</w:t>
      </w:r>
      <w:r w:rsidRPr="1C63998C">
        <w:rPr>
          <w:b w:val="0"/>
          <w:bCs w:val="0"/>
          <w:color w:val="1E4164"/>
          <w:sz w:val="22"/>
          <w:szCs w:val="22"/>
        </w:rPr>
        <w:t xml:space="preserve"> </w:t>
      </w:r>
      <w:r w:rsidR="00D22060" w:rsidRPr="1C63998C">
        <w:rPr>
          <w:b w:val="0"/>
          <w:bCs w:val="0"/>
          <w:color w:val="1E4164"/>
          <w:sz w:val="22"/>
          <w:szCs w:val="22"/>
        </w:rPr>
        <w:t>in giving</w:t>
      </w:r>
      <w:r w:rsidRPr="1C63998C">
        <w:rPr>
          <w:b w:val="0"/>
          <w:bCs w:val="0"/>
          <w:color w:val="1E4164"/>
          <w:sz w:val="22"/>
          <w:szCs w:val="22"/>
        </w:rPr>
        <w:t xml:space="preserve"> feedback </w:t>
      </w:r>
      <w:r w:rsidR="00A71500">
        <w:rPr>
          <w:b w:val="0"/>
          <w:bCs w:val="0"/>
          <w:color w:val="1E4164"/>
          <w:sz w:val="22"/>
          <w:szCs w:val="22"/>
        </w:rPr>
        <w:t>on the content of the</w:t>
      </w:r>
      <w:r w:rsidR="0013195B">
        <w:rPr>
          <w:b w:val="0"/>
          <w:bCs w:val="0"/>
          <w:color w:val="1E4164"/>
          <w:sz w:val="22"/>
          <w:szCs w:val="22"/>
        </w:rPr>
        <w:t xml:space="preserve"> initial draft version of the</w:t>
      </w:r>
      <w:r w:rsidR="00A71500">
        <w:rPr>
          <w:b w:val="0"/>
          <w:bCs w:val="0"/>
          <w:color w:val="1E4164"/>
          <w:sz w:val="22"/>
          <w:szCs w:val="22"/>
        </w:rPr>
        <w:t xml:space="preserve"> </w:t>
      </w:r>
      <w:r w:rsidR="00A71500" w:rsidRPr="00A71500">
        <w:rPr>
          <w:b w:val="0"/>
          <w:bCs w:val="0"/>
          <w:i/>
          <w:iCs/>
          <w:color w:val="1E4164"/>
          <w:sz w:val="22"/>
          <w:szCs w:val="22"/>
        </w:rPr>
        <w:t>UFE reporting guidelines</w:t>
      </w:r>
      <w:r w:rsidR="00A71500">
        <w:rPr>
          <w:b w:val="0"/>
          <w:bCs w:val="0"/>
          <w:color w:val="1E4164"/>
          <w:sz w:val="22"/>
          <w:szCs w:val="22"/>
        </w:rPr>
        <w:t xml:space="preserve"> that will form the basis of UFE Trends Reports</w:t>
      </w:r>
      <w:r w:rsidR="0013195B">
        <w:rPr>
          <w:b w:val="0"/>
          <w:bCs w:val="0"/>
          <w:color w:val="1E4164"/>
          <w:sz w:val="22"/>
          <w:szCs w:val="22"/>
        </w:rPr>
        <w:t xml:space="preserve"> in accordance with NER 3.15.5B</w:t>
      </w:r>
      <w:r w:rsidRPr="1C63998C">
        <w:rPr>
          <w:b w:val="0"/>
          <w:bCs w:val="0"/>
          <w:color w:val="1E4164"/>
          <w:sz w:val="22"/>
          <w:szCs w:val="22"/>
        </w:rPr>
        <w:t>.</w:t>
      </w:r>
    </w:p>
    <w:p w14:paraId="02A6FE22" w14:textId="2BE34FF6" w:rsidR="008D6BAC" w:rsidRDefault="008D6BAC" w:rsidP="008D6BAC">
      <w:pPr>
        <w:pStyle w:val="TableTitle"/>
        <w:spacing w:before="120" w:after="120"/>
        <w:rPr>
          <w:b w:val="0"/>
          <w:color w:val="1E4164"/>
          <w:sz w:val="22"/>
          <w:szCs w:val="22"/>
        </w:rPr>
      </w:pPr>
    </w:p>
    <w:p w14:paraId="5B7009E2" w14:textId="1112C17E" w:rsidR="00853045" w:rsidRDefault="0084452B" w:rsidP="00736A8B">
      <w:pPr>
        <w:pStyle w:val="Heading1"/>
      </w:pPr>
      <w:bookmarkStart w:id="2" w:name="_Toc109659468"/>
      <w:r>
        <w:t>Questions</w:t>
      </w:r>
      <w:bookmarkEnd w:id="2"/>
    </w:p>
    <w:p w14:paraId="74381165" w14:textId="77777777" w:rsidR="00853045" w:rsidRPr="00736A8B" w:rsidRDefault="00853045" w:rsidP="00853045"/>
    <w:tbl>
      <w:tblPr>
        <w:tblW w:w="130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7371"/>
      </w:tblGrid>
      <w:tr w:rsidR="00853045" w14:paraId="1A05745F" w14:textId="77777777" w:rsidTr="2244D7D9">
        <w:trPr>
          <w:tblHeader/>
        </w:trPr>
        <w:tc>
          <w:tcPr>
            <w:tcW w:w="1134" w:type="dxa"/>
            <w:shd w:val="clear" w:color="auto" w:fill="D9D9D9" w:themeFill="background1" w:themeFillShade="D9"/>
          </w:tcPr>
          <w:p w14:paraId="26004EEC" w14:textId="77777777" w:rsidR="00853045" w:rsidRPr="0025000B" w:rsidRDefault="00853045" w:rsidP="007E769F">
            <w:pPr>
              <w:keepNext/>
              <w:spacing w:before="120" w:after="120"/>
              <w:outlineLvl w:val="1"/>
              <w:rPr>
                <w:rFonts w:ascii="Calibri Light" w:hAnsi="Calibri Light"/>
                <w:b/>
                <w:bCs/>
                <w:iCs/>
                <w:sz w:val="28"/>
                <w:szCs w:val="28"/>
              </w:rPr>
            </w:pPr>
            <w:r w:rsidRPr="004D0982">
              <w:rPr>
                <w:rFonts w:ascii="Calibri Light" w:hAnsi="Calibri Light"/>
                <w:b/>
                <w:bCs/>
                <w:iCs/>
                <w:sz w:val="28"/>
                <w:szCs w:val="28"/>
              </w:rPr>
              <w:t>Section</w:t>
            </w:r>
          </w:p>
        </w:tc>
        <w:tc>
          <w:tcPr>
            <w:tcW w:w="4536" w:type="dxa"/>
            <w:shd w:val="clear" w:color="auto" w:fill="D9D9D9" w:themeFill="background1" w:themeFillShade="D9"/>
          </w:tcPr>
          <w:p w14:paraId="74E077B1" w14:textId="77777777" w:rsidR="00853045" w:rsidRPr="0025000B" w:rsidRDefault="00853045" w:rsidP="007E769F">
            <w:pPr>
              <w:keepNext/>
              <w:spacing w:before="120" w:after="120"/>
              <w:outlineLvl w:val="1"/>
              <w:rPr>
                <w:rFonts w:ascii="Calibri Light" w:hAnsi="Calibri Light"/>
                <w:b/>
                <w:bCs/>
                <w:iCs/>
                <w:sz w:val="28"/>
                <w:szCs w:val="28"/>
              </w:rPr>
            </w:pPr>
            <w:r w:rsidRPr="004D0982">
              <w:rPr>
                <w:rFonts w:ascii="Calibri Light" w:hAnsi="Calibri Light"/>
                <w:b/>
                <w:bCs/>
                <w:iCs/>
                <w:sz w:val="28"/>
                <w:szCs w:val="28"/>
              </w:rPr>
              <w:t>Description</w:t>
            </w:r>
          </w:p>
        </w:tc>
        <w:tc>
          <w:tcPr>
            <w:tcW w:w="7371" w:type="dxa"/>
            <w:shd w:val="clear" w:color="auto" w:fill="D9D9D9" w:themeFill="background1" w:themeFillShade="D9"/>
          </w:tcPr>
          <w:p w14:paraId="625CB7D6" w14:textId="77777777" w:rsidR="00853045" w:rsidRDefault="00853045" w:rsidP="007E769F">
            <w:pPr>
              <w:keepNext/>
              <w:spacing w:before="120" w:after="120"/>
              <w:outlineLvl w:val="1"/>
              <w:rPr>
                <w:color w:val="1E4164"/>
              </w:rPr>
            </w:pPr>
            <w:r w:rsidRPr="0025000B">
              <w:rPr>
                <w:rFonts w:ascii="Calibri Light" w:hAnsi="Calibri Light"/>
                <w:b/>
                <w:bCs/>
                <w:iCs/>
                <w:sz w:val="28"/>
                <w:szCs w:val="28"/>
              </w:rPr>
              <w:t>Participant Comments</w:t>
            </w:r>
          </w:p>
        </w:tc>
      </w:tr>
      <w:tr w:rsidR="005F11F8" w:rsidRPr="00E8425D" w14:paraId="2B02CB44" w14:textId="77777777" w:rsidTr="2244D7D9">
        <w:tc>
          <w:tcPr>
            <w:tcW w:w="1134" w:type="dxa"/>
            <w:shd w:val="clear" w:color="auto" w:fill="auto"/>
          </w:tcPr>
          <w:p w14:paraId="5C9F9507" w14:textId="47E9AF61" w:rsidR="005F11F8" w:rsidRDefault="005F11F8" w:rsidP="00853045">
            <w:pPr>
              <w:rPr>
                <w:rFonts w:ascii="Arial" w:hAnsi="Arial" w:cs="Arial"/>
              </w:rPr>
            </w:pPr>
            <w:r>
              <w:rPr>
                <w:rFonts w:ascii="Arial" w:hAnsi="Arial" w:cs="Arial"/>
              </w:rPr>
              <w:t>1.1</w:t>
            </w:r>
          </w:p>
        </w:tc>
        <w:tc>
          <w:tcPr>
            <w:tcW w:w="4536" w:type="dxa"/>
            <w:shd w:val="clear" w:color="auto" w:fill="auto"/>
          </w:tcPr>
          <w:p w14:paraId="2A2D33AE" w14:textId="77777777" w:rsidR="005F11F8" w:rsidRDefault="005F11F8" w:rsidP="00F40579">
            <w:pPr>
              <w:rPr>
                <w:rFonts w:ascii="Arial" w:hAnsi="Arial" w:cs="Arial"/>
                <w:bCs/>
                <w:color w:val="1E4164"/>
                <w:lang w:eastAsia="en-US"/>
              </w:rPr>
            </w:pPr>
            <w:r>
              <w:rPr>
                <w:rFonts w:ascii="Arial" w:hAnsi="Arial" w:cs="Arial"/>
                <w:bCs/>
                <w:color w:val="1E4164"/>
                <w:lang w:eastAsia="en-US"/>
              </w:rPr>
              <w:t>Purpose and scope</w:t>
            </w:r>
          </w:p>
          <w:p w14:paraId="4C30835F" w14:textId="35F7C173" w:rsidR="006F2099" w:rsidRPr="006F2099" w:rsidRDefault="006F2099" w:rsidP="0034049C">
            <w:pPr>
              <w:spacing w:after="0"/>
              <w:ind w:left="65"/>
              <w:rPr>
                <w:rFonts w:ascii="Arial" w:eastAsia="Calibri" w:hAnsi="Arial" w:cs="Arial"/>
                <w:color w:val="1E4164"/>
                <w:sz w:val="20"/>
                <w:szCs w:val="20"/>
                <w:lang w:eastAsia="en-US"/>
              </w:rPr>
            </w:pPr>
            <w:r w:rsidRPr="2244D7D9">
              <w:rPr>
                <w:rFonts w:ascii="Arial" w:eastAsia="Calibri" w:hAnsi="Arial" w:cs="Arial"/>
                <w:color w:val="1E4164"/>
                <w:sz w:val="20"/>
                <w:szCs w:val="20"/>
                <w:lang w:eastAsia="en-US"/>
              </w:rPr>
              <w:t>AEMO intends to publish each UFE Trends Report by 1 June each year covering a 12 month reporting period</w:t>
            </w:r>
            <w:r w:rsidR="61AF16D5" w:rsidRPr="2244D7D9">
              <w:rPr>
                <w:rFonts w:ascii="Arial" w:eastAsia="Calibri" w:hAnsi="Arial" w:cs="Arial"/>
                <w:color w:val="1E4164"/>
                <w:sz w:val="20"/>
                <w:szCs w:val="20"/>
                <w:lang w:eastAsia="en-US"/>
              </w:rPr>
              <w:t xml:space="preserve"> </w:t>
            </w:r>
            <w:r w:rsidR="61AF16D5" w:rsidRPr="002A37AF">
              <w:rPr>
                <w:rFonts w:ascii="Arial" w:eastAsia="Calibri" w:hAnsi="Arial" w:cs="Arial"/>
                <w:color w:val="1E4164"/>
                <w:sz w:val="20"/>
                <w:szCs w:val="20"/>
                <w:lang w:eastAsia="en-US"/>
              </w:rPr>
              <w:t>(For the (year “x”) UFE Trends Report the reporting period is 1 May (year “x-1”) to 30 April (year “x”))</w:t>
            </w:r>
            <w:r w:rsidRPr="2244D7D9">
              <w:rPr>
                <w:rFonts w:ascii="Arial" w:eastAsia="Calibri" w:hAnsi="Arial" w:cs="Arial"/>
                <w:color w:val="1E4164"/>
                <w:sz w:val="20"/>
                <w:szCs w:val="20"/>
                <w:lang w:eastAsia="en-US"/>
              </w:rPr>
              <w:t>.</w:t>
            </w:r>
          </w:p>
          <w:p w14:paraId="6EAF5CBD" w14:textId="39093DC3" w:rsidR="005F11F8" w:rsidRPr="00AA6E33" w:rsidRDefault="006F2099" w:rsidP="00AA6E33">
            <w:pPr>
              <w:spacing w:after="0"/>
              <w:rPr>
                <w:rFonts w:ascii="Arial" w:eastAsia="Calibri" w:hAnsi="Arial" w:cs="Arial"/>
                <w:bCs/>
                <w:color w:val="1E4164"/>
                <w:sz w:val="20"/>
                <w:szCs w:val="24"/>
                <w:lang w:eastAsia="en-US"/>
              </w:rPr>
            </w:pPr>
            <w:r w:rsidRPr="006F2099">
              <w:rPr>
                <w:rFonts w:ascii="Arial" w:eastAsia="Calibri" w:hAnsi="Arial" w:cs="Arial"/>
                <w:bCs/>
                <w:color w:val="1E4164"/>
                <w:sz w:val="20"/>
                <w:szCs w:val="24"/>
                <w:lang w:eastAsia="en-US"/>
              </w:rPr>
              <w:t>Q1.</w:t>
            </w:r>
            <w:r w:rsidRPr="00AA6E33">
              <w:rPr>
                <w:rFonts w:ascii="Arial" w:eastAsia="Calibri" w:hAnsi="Arial" w:cs="Arial"/>
                <w:bCs/>
                <w:color w:val="1E4164"/>
                <w:sz w:val="20"/>
                <w:szCs w:val="24"/>
                <w:lang w:eastAsia="en-US"/>
              </w:rPr>
              <w:t xml:space="preserve"> Do stakeholders require a different reporting timeframe?</w:t>
            </w:r>
          </w:p>
          <w:p w14:paraId="71251BAF" w14:textId="09E6888A" w:rsidR="006F2099" w:rsidRDefault="006F2099" w:rsidP="00F40579">
            <w:pPr>
              <w:rPr>
                <w:rFonts w:ascii="Arial" w:hAnsi="Arial" w:cs="Arial"/>
                <w:bCs/>
                <w:color w:val="1E4164"/>
                <w:lang w:eastAsia="en-US"/>
              </w:rPr>
            </w:pPr>
            <w:r w:rsidRPr="00AA6E33">
              <w:rPr>
                <w:rFonts w:ascii="Arial" w:eastAsia="Calibri" w:hAnsi="Arial" w:cs="Arial"/>
                <w:bCs/>
                <w:color w:val="1E4164"/>
                <w:sz w:val="20"/>
                <w:szCs w:val="24"/>
                <w:lang w:eastAsia="en-US"/>
              </w:rPr>
              <w:t>Q2. If so, what reporting timeframe is appropriate?  What benefits will be realised through a different reporting timeframe?</w:t>
            </w:r>
          </w:p>
        </w:tc>
        <w:tc>
          <w:tcPr>
            <w:tcW w:w="7371" w:type="dxa"/>
          </w:tcPr>
          <w:p w14:paraId="37A4093A" w14:textId="77777777" w:rsidR="005F11F8" w:rsidRPr="000872A1" w:rsidRDefault="005F11F8" w:rsidP="003B1ADD">
            <w:pPr>
              <w:rPr>
                <w:rFonts w:cs="Arial"/>
                <w:color w:val="1E4164"/>
              </w:rPr>
            </w:pPr>
          </w:p>
        </w:tc>
      </w:tr>
      <w:tr w:rsidR="000247C6" w:rsidRPr="00E8425D" w14:paraId="63BDCD3C" w14:textId="77777777" w:rsidTr="2244D7D9">
        <w:tc>
          <w:tcPr>
            <w:tcW w:w="1134" w:type="dxa"/>
            <w:shd w:val="clear" w:color="auto" w:fill="auto"/>
          </w:tcPr>
          <w:p w14:paraId="5E4E1C01" w14:textId="7917EF46" w:rsidR="000247C6" w:rsidRPr="00853045" w:rsidRDefault="0061271D" w:rsidP="00853045">
            <w:pPr>
              <w:rPr>
                <w:rFonts w:ascii="Arial" w:hAnsi="Arial" w:cs="Arial"/>
              </w:rPr>
            </w:pPr>
            <w:r>
              <w:rPr>
                <w:rFonts w:ascii="Arial" w:hAnsi="Arial" w:cs="Arial"/>
              </w:rPr>
              <w:t>2</w:t>
            </w:r>
          </w:p>
        </w:tc>
        <w:tc>
          <w:tcPr>
            <w:tcW w:w="4536" w:type="dxa"/>
            <w:shd w:val="clear" w:color="auto" w:fill="auto"/>
          </w:tcPr>
          <w:p w14:paraId="5E4150A7" w14:textId="77777777" w:rsidR="001B471A" w:rsidRDefault="005601D8" w:rsidP="00F40579">
            <w:pPr>
              <w:rPr>
                <w:rFonts w:ascii="Arial" w:hAnsi="Arial" w:cs="Arial"/>
                <w:bCs/>
                <w:color w:val="1E4164"/>
                <w:lang w:eastAsia="en-US"/>
              </w:rPr>
            </w:pPr>
            <w:r>
              <w:rPr>
                <w:rFonts w:ascii="Arial" w:hAnsi="Arial" w:cs="Arial"/>
                <w:bCs/>
                <w:color w:val="1E4164"/>
                <w:lang w:eastAsia="en-US"/>
              </w:rPr>
              <w:t>Summary of analysis of UFE</w:t>
            </w:r>
          </w:p>
          <w:p w14:paraId="759534BE" w14:textId="25846E15" w:rsidR="00D37E5B" w:rsidRPr="00F40579" w:rsidRDefault="629F9390" w:rsidP="5D53129E">
            <w:pPr>
              <w:pStyle w:val="BodyText"/>
              <w:spacing w:before="0"/>
              <w:rPr>
                <w:rFonts w:cs="Arial"/>
                <w:color w:val="1E4164"/>
              </w:rPr>
            </w:pPr>
            <w:r w:rsidRPr="5D53129E">
              <w:rPr>
                <w:rFonts w:eastAsia="Calibri" w:cs="Arial"/>
                <w:b w:val="0"/>
                <w:i w:val="0"/>
                <w:color w:val="1E4164"/>
                <w:sz w:val="20"/>
              </w:rPr>
              <w:t>Charts in this section provide a summary of the UFE calculation components</w:t>
            </w:r>
            <w:r w:rsidR="55124DBC" w:rsidRPr="5D53129E">
              <w:rPr>
                <w:rFonts w:eastAsia="Calibri" w:cs="Arial"/>
                <w:b w:val="0"/>
                <w:i w:val="0"/>
                <w:color w:val="1E4164"/>
                <w:sz w:val="20"/>
              </w:rPr>
              <w:t xml:space="preserve"> </w:t>
            </w:r>
            <w:r w:rsidRPr="5D53129E">
              <w:rPr>
                <w:rFonts w:eastAsia="Calibri" w:cs="Arial"/>
                <w:b w:val="0"/>
                <w:i w:val="0"/>
                <w:color w:val="1E4164"/>
                <w:sz w:val="20"/>
              </w:rPr>
              <w:t>for each local area.</w:t>
            </w:r>
            <w:r w:rsidR="21A8E86A" w:rsidRPr="5D53129E">
              <w:rPr>
                <w:rFonts w:eastAsia="Calibri" w:cs="Arial"/>
                <w:b w:val="0"/>
                <w:i w:val="0"/>
                <w:color w:val="1E4164"/>
                <w:sz w:val="20"/>
              </w:rPr>
              <w:t xml:space="preserve"> The </w:t>
            </w:r>
            <w:r w:rsidR="21A35E96" w:rsidRPr="5D53129E">
              <w:rPr>
                <w:rFonts w:eastAsia="Calibri" w:cs="Arial"/>
                <w:b w:val="0"/>
                <w:i w:val="0"/>
                <w:color w:val="1E4164"/>
                <w:sz w:val="20"/>
              </w:rPr>
              <w:t>c</w:t>
            </w:r>
            <w:r w:rsidRPr="5D53129E">
              <w:rPr>
                <w:rFonts w:eastAsia="Calibri" w:cs="Arial"/>
                <w:b w:val="0"/>
                <w:i w:val="0"/>
                <w:color w:val="1E4164"/>
                <w:sz w:val="20"/>
              </w:rPr>
              <w:t>urrent proposal is to provide UFE component charts for the current reporting period</w:t>
            </w:r>
            <w:r w:rsidR="2D00ACF4" w:rsidRPr="5D53129E">
              <w:rPr>
                <w:rFonts w:eastAsia="Calibri" w:cs="Arial"/>
                <w:b w:val="0"/>
                <w:i w:val="0"/>
                <w:color w:val="1E4164"/>
                <w:sz w:val="20"/>
              </w:rPr>
              <w:t xml:space="preserve"> based on FINAL version metering data</w:t>
            </w:r>
            <w:r w:rsidRPr="5D53129E">
              <w:rPr>
                <w:rFonts w:eastAsia="Calibri" w:cs="Arial"/>
                <w:b w:val="0"/>
                <w:i w:val="0"/>
                <w:color w:val="1E4164"/>
                <w:sz w:val="20"/>
              </w:rPr>
              <w:t xml:space="preserve">.  </w:t>
            </w:r>
            <w:r w:rsidR="0420967A" w:rsidRPr="5D53129E">
              <w:rPr>
                <w:rFonts w:eastAsia="Calibri" w:cs="Arial"/>
                <w:b w:val="0"/>
                <w:i w:val="0"/>
                <w:color w:val="1E4164"/>
                <w:sz w:val="20"/>
              </w:rPr>
              <w:lastRenderedPageBreak/>
              <w:t>Q</w:t>
            </w:r>
            <w:r w:rsidR="7B815E39" w:rsidRPr="5D53129E">
              <w:rPr>
                <w:rFonts w:eastAsia="Calibri" w:cs="Arial"/>
                <w:b w:val="0"/>
                <w:i w:val="0"/>
                <w:color w:val="1E4164"/>
                <w:sz w:val="20"/>
              </w:rPr>
              <w:t>1</w:t>
            </w:r>
            <w:r w:rsidR="0420967A" w:rsidRPr="5D53129E">
              <w:rPr>
                <w:rFonts w:eastAsia="Calibri" w:cs="Arial"/>
                <w:b w:val="0"/>
                <w:i w:val="0"/>
                <w:color w:val="1E4164"/>
                <w:sz w:val="20"/>
              </w:rPr>
              <w:t xml:space="preserve">. </w:t>
            </w:r>
            <w:r w:rsidRPr="5D53129E">
              <w:rPr>
                <w:rFonts w:eastAsia="Calibri" w:cs="Arial"/>
                <w:b w:val="0"/>
                <w:i w:val="0"/>
                <w:color w:val="1E4164"/>
                <w:sz w:val="20"/>
              </w:rPr>
              <w:t xml:space="preserve">Should the corresponding charts for the previous reporting period also be included? If </w:t>
            </w:r>
            <w:r w:rsidR="0420967A" w:rsidRPr="5D53129E">
              <w:rPr>
                <w:rFonts w:eastAsia="Calibri" w:cs="Arial"/>
                <w:b w:val="0"/>
                <w:i w:val="0"/>
                <w:color w:val="1E4164"/>
                <w:sz w:val="20"/>
              </w:rPr>
              <w:t>so</w:t>
            </w:r>
            <w:r w:rsidRPr="5D53129E">
              <w:rPr>
                <w:rFonts w:eastAsia="Calibri" w:cs="Arial"/>
                <w:b w:val="0"/>
                <w:i w:val="0"/>
                <w:color w:val="1E4164"/>
                <w:sz w:val="20"/>
              </w:rPr>
              <w:t>, what benefits will be realised?</w:t>
            </w:r>
          </w:p>
        </w:tc>
        <w:tc>
          <w:tcPr>
            <w:tcW w:w="7371" w:type="dxa"/>
          </w:tcPr>
          <w:p w14:paraId="781549D1" w14:textId="056DF2B9" w:rsidR="002B62A0" w:rsidRPr="000872A1" w:rsidRDefault="002B62A0" w:rsidP="003B1ADD">
            <w:pPr>
              <w:rPr>
                <w:rFonts w:cs="Arial"/>
                <w:color w:val="1E4164"/>
              </w:rPr>
            </w:pPr>
          </w:p>
        </w:tc>
      </w:tr>
      <w:tr w:rsidR="00853045" w:rsidRPr="00E8425D" w14:paraId="14DC7B23" w14:textId="77777777" w:rsidTr="2244D7D9">
        <w:tc>
          <w:tcPr>
            <w:tcW w:w="1134" w:type="dxa"/>
            <w:shd w:val="clear" w:color="auto" w:fill="auto"/>
          </w:tcPr>
          <w:p w14:paraId="03776FCF" w14:textId="264348C4" w:rsidR="00853045" w:rsidRPr="00853045" w:rsidRDefault="0061271D" w:rsidP="00853045">
            <w:pPr>
              <w:rPr>
                <w:rFonts w:ascii="Arial" w:hAnsi="Arial" w:cs="Arial"/>
              </w:rPr>
            </w:pPr>
            <w:r>
              <w:rPr>
                <w:rFonts w:ascii="Arial" w:hAnsi="Arial" w:cs="Arial"/>
              </w:rPr>
              <w:t>3</w:t>
            </w:r>
          </w:p>
        </w:tc>
        <w:tc>
          <w:tcPr>
            <w:tcW w:w="4536" w:type="dxa"/>
            <w:shd w:val="clear" w:color="auto" w:fill="auto"/>
          </w:tcPr>
          <w:p w14:paraId="7FF0831A" w14:textId="2D2B5818" w:rsidR="00853045" w:rsidRDefault="005601D8" w:rsidP="00F40579">
            <w:pPr>
              <w:rPr>
                <w:rFonts w:ascii="Arial" w:hAnsi="Arial" w:cs="Arial"/>
                <w:bCs/>
                <w:color w:val="1E4164"/>
                <w:lang w:eastAsia="en-US"/>
              </w:rPr>
            </w:pPr>
            <w:r>
              <w:rPr>
                <w:rFonts w:ascii="Arial" w:hAnsi="Arial" w:cs="Arial"/>
                <w:bCs/>
                <w:color w:val="1E4164"/>
                <w:lang w:eastAsia="en-US"/>
              </w:rPr>
              <w:t>UFE benc</w:t>
            </w:r>
            <w:r w:rsidR="00F65203">
              <w:rPr>
                <w:rFonts w:ascii="Arial" w:hAnsi="Arial" w:cs="Arial"/>
                <w:bCs/>
                <w:color w:val="1E4164"/>
                <w:lang w:eastAsia="en-US"/>
              </w:rPr>
              <w:t>h</w:t>
            </w:r>
            <w:r>
              <w:rPr>
                <w:rFonts w:ascii="Arial" w:hAnsi="Arial" w:cs="Arial"/>
                <w:bCs/>
                <w:color w:val="1E4164"/>
                <w:lang w:eastAsia="en-US"/>
              </w:rPr>
              <w:t>mark analysis</w:t>
            </w:r>
          </w:p>
          <w:p w14:paraId="4C59C4BC" w14:textId="6C67D4F1" w:rsidR="009D302D" w:rsidRPr="007339E8" w:rsidRDefault="009D302D" w:rsidP="009D302D">
            <w:pPr>
              <w:pStyle w:val="BodyText"/>
              <w:spacing w:before="0"/>
              <w:rPr>
                <w:rFonts w:cs="Arial"/>
                <w:b w:val="0"/>
                <w:bCs/>
                <w:i w:val="0"/>
                <w:iCs/>
                <w:color w:val="1E4164"/>
                <w:sz w:val="20"/>
              </w:rPr>
            </w:pPr>
            <w:r w:rsidRPr="009D302D">
              <w:rPr>
                <w:rFonts w:eastAsia="Calibri" w:cs="Arial"/>
                <w:b w:val="0"/>
                <w:bCs/>
                <w:i w:val="0"/>
                <w:color w:val="1E4164"/>
                <w:sz w:val="20"/>
                <w:szCs w:val="24"/>
              </w:rPr>
              <w:t>AEMO proposes to publish the median</w:t>
            </w:r>
            <w:r w:rsidR="00215375">
              <w:rPr>
                <w:rFonts w:eastAsia="Calibri" w:cs="Arial"/>
                <w:b w:val="0"/>
                <w:bCs/>
                <w:i w:val="0"/>
                <w:color w:val="1E4164"/>
                <w:sz w:val="20"/>
                <w:szCs w:val="24"/>
              </w:rPr>
              <w:t>, average, upper limit</w:t>
            </w:r>
            <w:r w:rsidRPr="009D302D">
              <w:rPr>
                <w:rFonts w:eastAsia="Calibri" w:cs="Arial"/>
                <w:b w:val="0"/>
                <w:bCs/>
                <w:i w:val="0"/>
                <w:color w:val="1E4164"/>
                <w:sz w:val="20"/>
                <w:szCs w:val="24"/>
              </w:rPr>
              <w:t xml:space="preserve"> and </w:t>
            </w:r>
            <w:r w:rsidR="00215375">
              <w:rPr>
                <w:rFonts w:eastAsia="Calibri" w:cs="Arial"/>
                <w:b w:val="0"/>
                <w:bCs/>
                <w:i w:val="0"/>
                <w:color w:val="1E4164"/>
                <w:sz w:val="20"/>
                <w:szCs w:val="24"/>
              </w:rPr>
              <w:t>lower limit</w:t>
            </w:r>
            <w:r w:rsidRPr="009D302D">
              <w:rPr>
                <w:rFonts w:eastAsia="Calibri" w:cs="Arial"/>
                <w:b w:val="0"/>
                <w:bCs/>
                <w:i w:val="0"/>
                <w:color w:val="1E4164"/>
                <w:sz w:val="20"/>
                <w:szCs w:val="24"/>
              </w:rPr>
              <w:t xml:space="preserve"> UFE values as benchmarks for each local area per reporting period.</w:t>
            </w:r>
          </w:p>
          <w:p w14:paraId="18091917" w14:textId="42F8B7DA" w:rsidR="00C54D25" w:rsidRPr="00C54D25" w:rsidRDefault="00C54D25" w:rsidP="009D302D">
            <w:pPr>
              <w:pStyle w:val="BodyText"/>
              <w:spacing w:before="0"/>
              <w:rPr>
                <w:rFonts w:cs="Arial"/>
                <w:bCs/>
                <w:i w:val="0"/>
                <w:iCs/>
                <w:color w:val="1E4164"/>
              </w:rPr>
            </w:pPr>
            <w:r w:rsidRPr="007339E8">
              <w:rPr>
                <w:rFonts w:cs="Arial"/>
                <w:b w:val="0"/>
                <w:bCs/>
                <w:i w:val="0"/>
                <w:iCs/>
                <w:color w:val="1E4164"/>
                <w:sz w:val="20"/>
              </w:rPr>
              <w:t>Q</w:t>
            </w:r>
            <w:r w:rsidR="00F556D5">
              <w:rPr>
                <w:rFonts w:cs="Arial"/>
                <w:b w:val="0"/>
                <w:bCs/>
                <w:i w:val="0"/>
                <w:iCs/>
                <w:color w:val="1E4164"/>
                <w:sz w:val="20"/>
              </w:rPr>
              <w:t>1</w:t>
            </w:r>
            <w:r w:rsidRPr="007339E8">
              <w:rPr>
                <w:rFonts w:cs="Arial"/>
                <w:b w:val="0"/>
                <w:bCs/>
                <w:i w:val="0"/>
                <w:iCs/>
                <w:color w:val="1E4164"/>
                <w:sz w:val="20"/>
              </w:rPr>
              <w:t>. Is there a better methodology to determine benchm</w:t>
            </w:r>
            <w:r w:rsidR="00215375">
              <w:rPr>
                <w:rFonts w:cs="Arial"/>
                <w:b w:val="0"/>
                <w:bCs/>
                <w:i w:val="0"/>
                <w:iCs/>
                <w:color w:val="1E4164"/>
                <w:sz w:val="20"/>
              </w:rPr>
              <w:t>a</w:t>
            </w:r>
            <w:r w:rsidRPr="007339E8">
              <w:rPr>
                <w:rFonts w:cs="Arial"/>
                <w:b w:val="0"/>
                <w:bCs/>
                <w:i w:val="0"/>
                <w:iCs/>
                <w:color w:val="1E4164"/>
                <w:sz w:val="20"/>
              </w:rPr>
              <w:t xml:space="preserve">rking for a </w:t>
            </w:r>
            <w:r w:rsidRPr="007339E8">
              <w:rPr>
                <w:rFonts w:cs="Arial"/>
                <w:b w:val="0"/>
                <w:bCs/>
                <w:color w:val="1E4164"/>
                <w:sz w:val="20"/>
              </w:rPr>
              <w:t>local area</w:t>
            </w:r>
            <w:r w:rsidRPr="007339E8">
              <w:rPr>
                <w:rFonts w:cs="Arial"/>
                <w:b w:val="0"/>
                <w:bCs/>
                <w:i w:val="0"/>
                <w:iCs/>
                <w:color w:val="1E4164"/>
                <w:sz w:val="20"/>
              </w:rPr>
              <w:t>?  If so, provide details of that methodology.</w:t>
            </w:r>
          </w:p>
        </w:tc>
        <w:tc>
          <w:tcPr>
            <w:tcW w:w="7371" w:type="dxa"/>
          </w:tcPr>
          <w:p w14:paraId="3014465F" w14:textId="1790A6B9" w:rsidR="001E5F5B" w:rsidRPr="000872A1" w:rsidRDefault="001E5F5B" w:rsidP="00853045">
            <w:pPr>
              <w:spacing w:before="120" w:after="120"/>
              <w:rPr>
                <w:rFonts w:cs="Arial"/>
                <w:color w:val="1E4164"/>
              </w:rPr>
            </w:pPr>
          </w:p>
        </w:tc>
      </w:tr>
      <w:tr w:rsidR="00853045" w:rsidRPr="00E8425D" w14:paraId="5A9517C9" w14:textId="77777777" w:rsidTr="2244D7D9">
        <w:tc>
          <w:tcPr>
            <w:tcW w:w="1134" w:type="dxa"/>
            <w:shd w:val="clear" w:color="auto" w:fill="auto"/>
          </w:tcPr>
          <w:p w14:paraId="696CB246" w14:textId="7E4B5640" w:rsidR="00853045" w:rsidRPr="00853045" w:rsidRDefault="0061271D" w:rsidP="00853045">
            <w:pPr>
              <w:rPr>
                <w:rFonts w:ascii="Arial" w:hAnsi="Arial" w:cs="Arial"/>
              </w:rPr>
            </w:pPr>
            <w:r>
              <w:rPr>
                <w:rFonts w:ascii="Arial" w:hAnsi="Arial" w:cs="Arial"/>
              </w:rPr>
              <w:t>4</w:t>
            </w:r>
          </w:p>
        </w:tc>
        <w:tc>
          <w:tcPr>
            <w:tcW w:w="4536" w:type="dxa"/>
            <w:shd w:val="clear" w:color="auto" w:fill="auto"/>
          </w:tcPr>
          <w:p w14:paraId="34A9747B" w14:textId="77777777" w:rsidR="00853045" w:rsidRDefault="005601D8" w:rsidP="00F40579">
            <w:pPr>
              <w:rPr>
                <w:rFonts w:ascii="Arial" w:hAnsi="Arial" w:cs="Arial"/>
                <w:bCs/>
                <w:color w:val="1E4164"/>
                <w:lang w:eastAsia="en-US"/>
              </w:rPr>
            </w:pPr>
            <w:r>
              <w:rPr>
                <w:rFonts w:ascii="Arial" w:hAnsi="Arial" w:cs="Arial"/>
                <w:bCs/>
                <w:color w:val="1E4164"/>
                <w:lang w:eastAsia="en-US"/>
              </w:rPr>
              <w:t>UFE source analysis</w:t>
            </w:r>
          </w:p>
          <w:p w14:paraId="7737F4A3" w14:textId="388FD454" w:rsidR="005601D8" w:rsidRDefault="00C54D25" w:rsidP="00C54D25">
            <w:pPr>
              <w:pStyle w:val="BodyText"/>
              <w:spacing w:before="0"/>
              <w:rPr>
                <w:rFonts w:eastAsia="Calibri" w:cs="Arial"/>
                <w:b w:val="0"/>
                <w:bCs/>
                <w:i w:val="0"/>
                <w:color w:val="1E4164"/>
                <w:sz w:val="20"/>
                <w:szCs w:val="24"/>
              </w:rPr>
            </w:pPr>
            <w:r w:rsidRPr="00C54D25">
              <w:rPr>
                <w:rFonts w:eastAsia="Calibri" w:cs="Arial"/>
                <w:b w:val="0"/>
                <w:bCs/>
                <w:i w:val="0"/>
                <w:color w:val="1E4164"/>
                <w:sz w:val="20"/>
                <w:szCs w:val="24"/>
              </w:rPr>
              <w:t xml:space="preserve">Areas of UFE source analysis are related to variables that modify metering data, as identified in section 4 of the Initial Draft </w:t>
            </w:r>
            <w:r w:rsidRPr="00C54D25">
              <w:rPr>
                <w:rFonts w:eastAsia="Calibri" w:cs="Arial"/>
                <w:b w:val="0"/>
                <w:bCs/>
                <w:iCs/>
                <w:color w:val="1E4164"/>
                <w:sz w:val="20"/>
                <w:szCs w:val="24"/>
              </w:rPr>
              <w:t>UFE reporting guidelines</w:t>
            </w:r>
            <w:r w:rsidRPr="00C54D25">
              <w:rPr>
                <w:rFonts w:eastAsia="Calibri" w:cs="Arial"/>
                <w:b w:val="0"/>
                <w:bCs/>
                <w:i w:val="0"/>
                <w:color w:val="1E4164"/>
                <w:sz w:val="20"/>
                <w:szCs w:val="24"/>
              </w:rPr>
              <w:t>.</w:t>
            </w:r>
          </w:p>
          <w:p w14:paraId="68ED5495" w14:textId="40E9FF8C" w:rsidR="00C54D25" w:rsidRDefault="008F6FEA" w:rsidP="008F6FEA">
            <w:pPr>
              <w:pStyle w:val="BodyText"/>
              <w:spacing w:before="0"/>
              <w:rPr>
                <w:rFonts w:eastAsia="Calibri" w:cs="Arial"/>
                <w:b w:val="0"/>
                <w:bCs/>
                <w:i w:val="0"/>
                <w:color w:val="1E4164"/>
                <w:sz w:val="20"/>
                <w:szCs w:val="24"/>
              </w:rPr>
            </w:pPr>
            <w:r>
              <w:rPr>
                <w:rFonts w:eastAsia="Calibri" w:cs="Arial"/>
                <w:b w:val="0"/>
                <w:bCs/>
                <w:i w:val="0"/>
                <w:color w:val="1E4164"/>
                <w:sz w:val="20"/>
                <w:szCs w:val="24"/>
              </w:rPr>
              <w:t>Q1. Are ther</w:t>
            </w:r>
            <w:r w:rsidR="007339E8">
              <w:rPr>
                <w:rFonts w:eastAsia="Calibri" w:cs="Arial"/>
                <w:b w:val="0"/>
                <w:bCs/>
                <w:i w:val="0"/>
                <w:color w:val="1E4164"/>
                <w:sz w:val="20"/>
                <w:szCs w:val="24"/>
              </w:rPr>
              <w:t>e</w:t>
            </w:r>
            <w:r>
              <w:rPr>
                <w:rFonts w:eastAsia="Calibri" w:cs="Arial"/>
                <w:b w:val="0"/>
                <w:bCs/>
                <w:i w:val="0"/>
                <w:color w:val="1E4164"/>
                <w:sz w:val="20"/>
                <w:szCs w:val="24"/>
              </w:rPr>
              <w:t xml:space="preserve"> other variables that modify metering data that should be included in the </w:t>
            </w:r>
            <w:r>
              <w:rPr>
                <w:rFonts w:eastAsia="Calibri" w:cs="Arial"/>
                <w:b w:val="0"/>
                <w:bCs/>
                <w:iCs/>
                <w:color w:val="1E4164"/>
                <w:sz w:val="20"/>
                <w:szCs w:val="24"/>
              </w:rPr>
              <w:t>UFE reporting guidelines</w:t>
            </w:r>
            <w:r>
              <w:rPr>
                <w:rFonts w:eastAsia="Calibri" w:cs="Arial"/>
                <w:b w:val="0"/>
                <w:bCs/>
                <w:i w:val="0"/>
                <w:color w:val="1E4164"/>
                <w:sz w:val="20"/>
                <w:szCs w:val="24"/>
              </w:rPr>
              <w:t>?  If so, provide details of the other variables and their effect on metering data</w:t>
            </w:r>
          </w:p>
          <w:p w14:paraId="0A0008FD" w14:textId="1690CCA5" w:rsidR="004A1658" w:rsidRPr="007339E8" w:rsidRDefault="008F6FEA" w:rsidP="008F6FEA">
            <w:pPr>
              <w:pStyle w:val="BodyText"/>
              <w:spacing w:before="0"/>
              <w:rPr>
                <w:rFonts w:cs="Arial"/>
                <w:b w:val="0"/>
                <w:i w:val="0"/>
                <w:iCs/>
                <w:color w:val="1E4164"/>
                <w:sz w:val="20"/>
              </w:rPr>
            </w:pPr>
            <w:r w:rsidRPr="007339E8">
              <w:rPr>
                <w:rFonts w:cs="Arial"/>
                <w:b w:val="0"/>
                <w:i w:val="0"/>
                <w:iCs/>
                <w:color w:val="1E4164"/>
                <w:sz w:val="20"/>
              </w:rPr>
              <w:t>Q2. Should the importance/effect of these variables be ranked?  If so, which variables should be analysed initially?</w:t>
            </w:r>
          </w:p>
        </w:tc>
        <w:tc>
          <w:tcPr>
            <w:tcW w:w="7371" w:type="dxa"/>
          </w:tcPr>
          <w:p w14:paraId="3E65986B" w14:textId="462EA716" w:rsidR="00853045" w:rsidRPr="000872A1" w:rsidRDefault="00853045" w:rsidP="00853045">
            <w:pPr>
              <w:spacing w:before="120" w:after="120"/>
              <w:rPr>
                <w:rFonts w:cs="Arial"/>
                <w:color w:val="1E4164"/>
              </w:rPr>
            </w:pPr>
          </w:p>
        </w:tc>
      </w:tr>
      <w:tr w:rsidR="0051345D" w:rsidRPr="00E8425D" w14:paraId="3EBB7C6C" w14:textId="77777777" w:rsidTr="2244D7D9">
        <w:tc>
          <w:tcPr>
            <w:tcW w:w="1134" w:type="dxa"/>
            <w:shd w:val="clear" w:color="auto" w:fill="auto"/>
          </w:tcPr>
          <w:p w14:paraId="69DD2A22" w14:textId="2B38C74B" w:rsidR="0051345D" w:rsidRDefault="0061271D" w:rsidP="00853045">
            <w:pPr>
              <w:rPr>
                <w:rFonts w:ascii="Arial" w:hAnsi="Arial" w:cs="Arial"/>
              </w:rPr>
            </w:pPr>
            <w:r>
              <w:rPr>
                <w:rFonts w:ascii="Arial" w:hAnsi="Arial" w:cs="Arial"/>
              </w:rPr>
              <w:t>5</w:t>
            </w:r>
          </w:p>
        </w:tc>
        <w:tc>
          <w:tcPr>
            <w:tcW w:w="4536" w:type="dxa"/>
            <w:shd w:val="clear" w:color="auto" w:fill="auto"/>
          </w:tcPr>
          <w:p w14:paraId="1B22F3BE" w14:textId="77777777" w:rsidR="0051345D" w:rsidRDefault="005601D8" w:rsidP="00F40579">
            <w:pPr>
              <w:rPr>
                <w:rFonts w:ascii="Arial" w:hAnsi="Arial" w:cs="Arial"/>
                <w:bCs/>
                <w:color w:val="1E4164"/>
                <w:lang w:eastAsia="en-US"/>
              </w:rPr>
            </w:pPr>
            <w:r>
              <w:rPr>
                <w:rFonts w:ascii="Arial" w:hAnsi="Arial" w:cs="Arial"/>
                <w:bCs/>
                <w:color w:val="1E4164"/>
                <w:lang w:eastAsia="en-US"/>
              </w:rPr>
              <w:t>Recommendations – UFE visibility improvements</w:t>
            </w:r>
          </w:p>
          <w:p w14:paraId="5971910F" w14:textId="5AB20979" w:rsidR="005601D8" w:rsidRDefault="008F6FEA" w:rsidP="008F6FEA">
            <w:pPr>
              <w:pStyle w:val="BodyText"/>
              <w:spacing w:before="0"/>
              <w:rPr>
                <w:rFonts w:eastAsia="Calibri" w:cs="Arial"/>
                <w:b w:val="0"/>
                <w:bCs/>
                <w:i w:val="0"/>
                <w:color w:val="1E4164"/>
                <w:sz w:val="20"/>
                <w:szCs w:val="24"/>
              </w:rPr>
            </w:pPr>
            <w:r w:rsidRPr="008F6FEA">
              <w:rPr>
                <w:rFonts w:eastAsia="Calibri" w:cs="Arial"/>
                <w:b w:val="0"/>
                <w:bCs/>
                <w:i w:val="0"/>
                <w:color w:val="1E4164"/>
                <w:sz w:val="20"/>
                <w:szCs w:val="24"/>
              </w:rPr>
              <w:t>Q1. What are the benefits in reporting UFE values at a more granular level tha</w:t>
            </w:r>
            <w:r w:rsidR="00E602CA">
              <w:rPr>
                <w:rFonts w:eastAsia="Calibri" w:cs="Arial"/>
                <w:b w:val="0"/>
                <w:bCs/>
                <w:i w:val="0"/>
                <w:color w:val="1E4164"/>
                <w:sz w:val="20"/>
                <w:szCs w:val="24"/>
              </w:rPr>
              <w:t>n</w:t>
            </w:r>
            <w:r w:rsidRPr="008F6FEA">
              <w:rPr>
                <w:rFonts w:eastAsia="Calibri" w:cs="Arial"/>
                <w:b w:val="0"/>
                <w:bCs/>
                <w:i w:val="0"/>
                <w:color w:val="1E4164"/>
                <w:sz w:val="20"/>
                <w:szCs w:val="24"/>
              </w:rPr>
              <w:t xml:space="preserve"> at the local area?</w:t>
            </w:r>
            <w:r w:rsidR="00E0405E">
              <w:rPr>
                <w:rFonts w:eastAsia="Calibri" w:cs="Arial"/>
                <w:b w:val="0"/>
                <w:bCs/>
                <w:i w:val="0"/>
                <w:color w:val="1E4164"/>
                <w:sz w:val="20"/>
                <w:szCs w:val="24"/>
              </w:rPr>
              <w:t xml:space="preserve">  Noting that reporting at TNI level is not meaningful for local areas that have virtual TNIs.</w:t>
            </w:r>
          </w:p>
          <w:p w14:paraId="7C50F8BA" w14:textId="1DBA61B7" w:rsidR="004A1658" w:rsidRDefault="00815FC3" w:rsidP="00815FC3">
            <w:pPr>
              <w:pStyle w:val="BodyText"/>
              <w:spacing w:before="0"/>
              <w:rPr>
                <w:rFonts w:eastAsia="Calibri" w:cs="Arial"/>
                <w:b w:val="0"/>
                <w:bCs/>
                <w:i w:val="0"/>
                <w:color w:val="1E4164"/>
                <w:sz w:val="20"/>
                <w:szCs w:val="24"/>
              </w:rPr>
            </w:pPr>
            <w:r>
              <w:rPr>
                <w:rFonts w:eastAsia="Calibri" w:cs="Arial"/>
                <w:b w:val="0"/>
                <w:bCs/>
                <w:i w:val="0"/>
                <w:color w:val="1E4164"/>
                <w:sz w:val="20"/>
                <w:szCs w:val="24"/>
              </w:rPr>
              <w:lastRenderedPageBreak/>
              <w:t xml:space="preserve">Q2. </w:t>
            </w:r>
            <w:r w:rsidR="00F73D7C" w:rsidRPr="00F73D7C">
              <w:rPr>
                <w:rFonts w:eastAsia="Calibri" w:cs="Arial"/>
                <w:b w:val="0"/>
                <w:bCs/>
                <w:i w:val="0"/>
                <w:color w:val="1E4164"/>
                <w:sz w:val="20"/>
                <w:szCs w:val="24"/>
              </w:rPr>
              <w:t>Should the seasonal variance information be presented in another way?  If so, how should this information be presented and what will be the benefits of presenting the information in this alternative way?</w:t>
            </w:r>
          </w:p>
          <w:p w14:paraId="64A64A11" w14:textId="3BF3354F" w:rsidR="00815FC3" w:rsidRPr="008F6FEA" w:rsidRDefault="00815FC3" w:rsidP="00815FC3">
            <w:pPr>
              <w:pStyle w:val="BodyText"/>
              <w:spacing w:before="0"/>
              <w:rPr>
                <w:rFonts w:cs="Arial"/>
                <w:bCs/>
                <w:color w:val="1E4164"/>
              </w:rPr>
            </w:pPr>
          </w:p>
        </w:tc>
        <w:tc>
          <w:tcPr>
            <w:tcW w:w="7371" w:type="dxa"/>
          </w:tcPr>
          <w:p w14:paraId="5A7467B5" w14:textId="06671320" w:rsidR="0051345D" w:rsidRPr="000872A1" w:rsidRDefault="0051345D" w:rsidP="00853045">
            <w:pPr>
              <w:spacing w:before="120" w:after="120"/>
              <w:rPr>
                <w:rFonts w:cs="Arial"/>
                <w:color w:val="1E4164"/>
              </w:rPr>
            </w:pPr>
          </w:p>
        </w:tc>
      </w:tr>
      <w:tr w:rsidR="00D20DDC" w:rsidRPr="00E8425D" w14:paraId="377C0E57" w14:textId="77777777" w:rsidTr="2244D7D9">
        <w:tc>
          <w:tcPr>
            <w:tcW w:w="1134" w:type="dxa"/>
            <w:shd w:val="clear" w:color="auto" w:fill="auto"/>
          </w:tcPr>
          <w:p w14:paraId="772005DB" w14:textId="3C424D68" w:rsidR="00D20DDC" w:rsidRDefault="0061271D" w:rsidP="00853045">
            <w:pPr>
              <w:rPr>
                <w:rFonts w:ascii="Arial" w:hAnsi="Arial" w:cs="Arial"/>
              </w:rPr>
            </w:pPr>
            <w:r>
              <w:rPr>
                <w:rFonts w:ascii="Arial" w:hAnsi="Arial" w:cs="Arial"/>
              </w:rPr>
              <w:t>6</w:t>
            </w:r>
          </w:p>
        </w:tc>
        <w:tc>
          <w:tcPr>
            <w:tcW w:w="4536" w:type="dxa"/>
            <w:shd w:val="clear" w:color="auto" w:fill="auto"/>
          </w:tcPr>
          <w:p w14:paraId="19BE40B0" w14:textId="77777777" w:rsidR="00D20DDC" w:rsidRDefault="005601D8" w:rsidP="00195D91">
            <w:pPr>
              <w:rPr>
                <w:rFonts w:ascii="Arial" w:hAnsi="Arial" w:cs="Arial"/>
                <w:bCs/>
                <w:color w:val="1E4164"/>
                <w:lang w:eastAsia="en-US"/>
              </w:rPr>
            </w:pPr>
            <w:r>
              <w:rPr>
                <w:rFonts w:ascii="Arial" w:hAnsi="Arial" w:cs="Arial"/>
                <w:bCs/>
                <w:color w:val="1E4164"/>
                <w:lang w:eastAsia="en-US"/>
              </w:rPr>
              <w:t>Recommendations – UFE reduction actions</w:t>
            </w:r>
          </w:p>
          <w:p w14:paraId="5A0D012E" w14:textId="5F7B6B7B" w:rsidR="005601D8" w:rsidRPr="007538AD" w:rsidRDefault="007538AD" w:rsidP="007538AD">
            <w:pPr>
              <w:pStyle w:val="BodyText"/>
              <w:spacing w:before="0"/>
              <w:rPr>
                <w:rFonts w:eastAsia="Calibri" w:cs="Arial"/>
                <w:b w:val="0"/>
                <w:bCs/>
                <w:i w:val="0"/>
                <w:color w:val="1E4164"/>
                <w:sz w:val="20"/>
                <w:szCs w:val="24"/>
              </w:rPr>
            </w:pPr>
            <w:r w:rsidRPr="007538AD">
              <w:rPr>
                <w:rFonts w:eastAsia="Calibri" w:cs="Arial"/>
                <w:b w:val="0"/>
                <w:bCs/>
                <w:i w:val="0"/>
                <w:color w:val="1E4164"/>
                <w:sz w:val="20"/>
                <w:szCs w:val="24"/>
              </w:rPr>
              <w:t xml:space="preserve">Q1. </w:t>
            </w:r>
            <w:r w:rsidR="002E5E79">
              <w:rPr>
                <w:rFonts w:eastAsia="Calibri" w:cs="Arial"/>
                <w:b w:val="0"/>
                <w:bCs/>
                <w:i w:val="0"/>
                <w:color w:val="1E4164"/>
                <w:sz w:val="20"/>
                <w:szCs w:val="24"/>
              </w:rPr>
              <w:t>Are there</w:t>
            </w:r>
            <w:r w:rsidR="002E5E79" w:rsidRPr="007538AD">
              <w:rPr>
                <w:rFonts w:eastAsia="Calibri" w:cs="Arial"/>
                <w:b w:val="0"/>
                <w:bCs/>
                <w:i w:val="0"/>
                <w:color w:val="1E4164"/>
                <w:sz w:val="20"/>
                <w:szCs w:val="24"/>
              </w:rPr>
              <w:t xml:space="preserve"> </w:t>
            </w:r>
            <w:r w:rsidR="008A11A4">
              <w:rPr>
                <w:rFonts w:eastAsia="Calibri" w:cs="Arial"/>
                <w:b w:val="0"/>
                <w:bCs/>
                <w:i w:val="0"/>
                <w:color w:val="1E4164"/>
                <w:sz w:val="20"/>
                <w:szCs w:val="24"/>
              </w:rPr>
              <w:t xml:space="preserve">other </w:t>
            </w:r>
            <w:r w:rsidRPr="007538AD">
              <w:rPr>
                <w:rFonts w:eastAsia="Calibri" w:cs="Arial"/>
                <w:b w:val="0"/>
                <w:bCs/>
                <w:i w:val="0"/>
                <w:color w:val="1E4164"/>
                <w:sz w:val="20"/>
                <w:szCs w:val="24"/>
              </w:rPr>
              <w:t xml:space="preserve">actions </w:t>
            </w:r>
            <w:r w:rsidR="00895B86">
              <w:rPr>
                <w:rFonts w:eastAsia="Calibri" w:cs="Arial"/>
                <w:b w:val="0"/>
                <w:bCs/>
                <w:i w:val="0"/>
                <w:color w:val="1E4164"/>
                <w:sz w:val="20"/>
                <w:szCs w:val="24"/>
              </w:rPr>
              <w:t>which should</w:t>
            </w:r>
            <w:r w:rsidR="00895B86" w:rsidRPr="007538AD">
              <w:rPr>
                <w:rFonts w:eastAsia="Calibri" w:cs="Arial"/>
                <w:b w:val="0"/>
                <w:bCs/>
                <w:i w:val="0"/>
                <w:color w:val="1E4164"/>
                <w:sz w:val="20"/>
                <w:szCs w:val="24"/>
              </w:rPr>
              <w:t xml:space="preserve"> </w:t>
            </w:r>
            <w:r w:rsidRPr="007538AD">
              <w:rPr>
                <w:rFonts w:eastAsia="Calibri" w:cs="Arial"/>
                <w:b w:val="0"/>
                <w:bCs/>
                <w:i w:val="0"/>
                <w:color w:val="1E4164"/>
                <w:sz w:val="20"/>
                <w:szCs w:val="24"/>
              </w:rPr>
              <w:t xml:space="preserve">be explored </w:t>
            </w:r>
            <w:r w:rsidR="00895B86">
              <w:rPr>
                <w:rFonts w:eastAsia="Calibri" w:cs="Arial"/>
                <w:b w:val="0"/>
                <w:bCs/>
                <w:i w:val="0"/>
                <w:color w:val="1E4164"/>
                <w:sz w:val="20"/>
                <w:szCs w:val="24"/>
              </w:rPr>
              <w:t xml:space="preserve">to </w:t>
            </w:r>
            <w:r w:rsidRPr="007538AD">
              <w:rPr>
                <w:rFonts w:eastAsia="Calibri" w:cs="Arial"/>
                <w:b w:val="0"/>
                <w:bCs/>
                <w:i w:val="0"/>
                <w:color w:val="1E4164"/>
                <w:sz w:val="20"/>
                <w:szCs w:val="24"/>
              </w:rPr>
              <w:t>reduce UFE</w:t>
            </w:r>
            <w:r w:rsidR="00895B86">
              <w:rPr>
                <w:rFonts w:eastAsia="Calibri" w:cs="Arial"/>
                <w:b w:val="0"/>
                <w:bCs/>
                <w:i w:val="0"/>
                <w:color w:val="1E4164"/>
                <w:sz w:val="20"/>
                <w:szCs w:val="24"/>
              </w:rPr>
              <w:t>?</w:t>
            </w:r>
          </w:p>
          <w:p w14:paraId="228D8D2F" w14:textId="56539AF2" w:rsidR="007538AD" w:rsidRPr="0066019F" w:rsidRDefault="007538AD" w:rsidP="007538AD">
            <w:pPr>
              <w:pStyle w:val="BodyText"/>
              <w:spacing w:before="0"/>
              <w:rPr>
                <w:rFonts w:cs="Arial"/>
                <w:bCs/>
                <w:color w:val="1E4164"/>
              </w:rPr>
            </w:pPr>
            <w:r w:rsidRPr="007538AD">
              <w:rPr>
                <w:rFonts w:eastAsia="Calibri" w:cs="Arial"/>
                <w:b w:val="0"/>
                <w:bCs/>
                <w:i w:val="0"/>
                <w:color w:val="1E4164"/>
                <w:sz w:val="20"/>
                <w:szCs w:val="24"/>
              </w:rPr>
              <w:t xml:space="preserve">Q2. Who holds </w:t>
            </w:r>
            <w:r w:rsidR="00463300">
              <w:rPr>
                <w:rFonts w:eastAsia="Calibri" w:cs="Arial"/>
                <w:b w:val="0"/>
                <w:bCs/>
                <w:i w:val="0"/>
                <w:color w:val="1E4164"/>
                <w:sz w:val="20"/>
                <w:szCs w:val="24"/>
              </w:rPr>
              <w:t xml:space="preserve">the </w:t>
            </w:r>
            <w:r w:rsidRPr="007538AD">
              <w:rPr>
                <w:rFonts w:eastAsia="Calibri" w:cs="Arial"/>
                <w:b w:val="0"/>
                <w:bCs/>
                <w:i w:val="0"/>
                <w:color w:val="1E4164"/>
                <w:sz w:val="20"/>
                <w:szCs w:val="24"/>
              </w:rPr>
              <w:t>information to support these actions?</w:t>
            </w:r>
          </w:p>
        </w:tc>
        <w:tc>
          <w:tcPr>
            <w:tcW w:w="7371" w:type="dxa"/>
          </w:tcPr>
          <w:p w14:paraId="2B6E09D6" w14:textId="338EB61A" w:rsidR="00D20DDC" w:rsidRPr="000872A1" w:rsidRDefault="00D20DDC" w:rsidP="00853045">
            <w:pPr>
              <w:spacing w:before="120" w:after="120"/>
              <w:rPr>
                <w:rFonts w:cs="Arial"/>
                <w:color w:val="1E4164"/>
              </w:rPr>
            </w:pPr>
          </w:p>
        </w:tc>
      </w:tr>
      <w:tr w:rsidR="001C6D68" w:rsidRPr="00E8425D" w14:paraId="2B0F2F3B" w14:textId="77777777" w:rsidTr="2244D7D9">
        <w:tc>
          <w:tcPr>
            <w:tcW w:w="1134" w:type="dxa"/>
            <w:shd w:val="clear" w:color="auto" w:fill="auto"/>
          </w:tcPr>
          <w:p w14:paraId="3FB76118" w14:textId="4C012CBC" w:rsidR="001C6D68" w:rsidRDefault="0061271D" w:rsidP="00853045">
            <w:pPr>
              <w:rPr>
                <w:rFonts w:ascii="Arial" w:hAnsi="Arial" w:cs="Arial"/>
              </w:rPr>
            </w:pPr>
            <w:r>
              <w:rPr>
                <w:rFonts w:ascii="Arial" w:hAnsi="Arial" w:cs="Arial"/>
              </w:rPr>
              <w:t>Appendix A</w:t>
            </w:r>
            <w:r w:rsidR="00815FC3">
              <w:rPr>
                <w:rFonts w:ascii="Arial" w:hAnsi="Arial" w:cs="Arial"/>
              </w:rPr>
              <w:t>.</w:t>
            </w:r>
            <w:r w:rsidR="00A71500">
              <w:rPr>
                <w:rFonts w:ascii="Arial" w:hAnsi="Arial" w:cs="Arial"/>
              </w:rPr>
              <w:t>1</w:t>
            </w:r>
          </w:p>
        </w:tc>
        <w:tc>
          <w:tcPr>
            <w:tcW w:w="4536" w:type="dxa"/>
            <w:shd w:val="clear" w:color="auto" w:fill="auto"/>
          </w:tcPr>
          <w:p w14:paraId="68EE5C33" w14:textId="77777777" w:rsidR="001C6D68" w:rsidRPr="000A516D" w:rsidRDefault="00A71500" w:rsidP="00195D91">
            <w:pPr>
              <w:rPr>
                <w:rFonts w:ascii="Arial" w:eastAsia="Calibri" w:hAnsi="Arial" w:cs="Arial"/>
                <w:bCs/>
                <w:color w:val="1E4164"/>
                <w:sz w:val="20"/>
                <w:szCs w:val="24"/>
                <w:lang w:eastAsia="en-US"/>
              </w:rPr>
            </w:pPr>
            <w:r w:rsidRPr="000A516D">
              <w:rPr>
                <w:rFonts w:ascii="Arial" w:eastAsia="Calibri" w:hAnsi="Arial" w:cs="Arial"/>
                <w:bCs/>
                <w:color w:val="1E4164"/>
                <w:sz w:val="20"/>
                <w:szCs w:val="24"/>
                <w:lang w:eastAsia="en-US"/>
              </w:rPr>
              <w:t>UFE analysis supporting information.</w:t>
            </w:r>
          </w:p>
          <w:p w14:paraId="1D292245" w14:textId="1A9F8B57" w:rsidR="00A71500" w:rsidRPr="005601D8" w:rsidRDefault="005601D8" w:rsidP="00A71500">
            <w:pPr>
              <w:pStyle w:val="BodyText"/>
              <w:spacing w:before="0"/>
              <w:rPr>
                <w:rFonts w:eastAsia="Calibri" w:cs="Arial"/>
                <w:b w:val="0"/>
                <w:bCs/>
                <w:i w:val="0"/>
                <w:color w:val="1E4164"/>
                <w:sz w:val="20"/>
                <w:szCs w:val="24"/>
              </w:rPr>
            </w:pPr>
            <w:r w:rsidRPr="005601D8">
              <w:rPr>
                <w:rFonts w:eastAsia="Calibri" w:cs="Arial"/>
                <w:b w:val="0"/>
                <w:bCs/>
                <w:i w:val="0"/>
                <w:color w:val="1E4164"/>
                <w:sz w:val="20"/>
                <w:szCs w:val="24"/>
              </w:rPr>
              <w:t>A</w:t>
            </w:r>
            <w:r w:rsidR="00A71500" w:rsidRPr="005601D8">
              <w:rPr>
                <w:rFonts w:eastAsia="Calibri" w:cs="Arial"/>
                <w:b w:val="0"/>
                <w:bCs/>
                <w:i w:val="0"/>
                <w:color w:val="1E4164"/>
                <w:sz w:val="20"/>
                <w:szCs w:val="24"/>
              </w:rPr>
              <w:t>dditional information to support UFE analysis in each local area.  These charts are:</w:t>
            </w:r>
          </w:p>
          <w:p w14:paraId="4E146225" w14:textId="77777777" w:rsidR="00A71500" w:rsidRPr="005601D8" w:rsidRDefault="00A71500" w:rsidP="00A71500">
            <w:pPr>
              <w:pStyle w:val="ListBullet"/>
              <w:rPr>
                <w:rFonts w:cs="Arial"/>
                <w:bCs/>
                <w:color w:val="1E4164"/>
              </w:rPr>
            </w:pPr>
            <w:r w:rsidRPr="005601D8">
              <w:rPr>
                <w:rFonts w:cs="Arial"/>
                <w:bCs/>
                <w:color w:val="1E4164"/>
              </w:rPr>
              <w:t>UFE for the local area</w:t>
            </w:r>
          </w:p>
          <w:p w14:paraId="3E2BBDA6" w14:textId="3773EC19" w:rsidR="00A71500" w:rsidRDefault="00A71500" w:rsidP="005601D8">
            <w:pPr>
              <w:pStyle w:val="ListBullet"/>
              <w:rPr>
                <w:rFonts w:cs="Arial"/>
                <w:bCs/>
                <w:color w:val="1E4164"/>
              </w:rPr>
            </w:pPr>
            <w:r w:rsidRPr="005601D8">
              <w:rPr>
                <w:rFonts w:cs="Arial"/>
                <w:bCs/>
                <w:color w:val="1E4164"/>
              </w:rPr>
              <w:t>UFE for the local area as a percentage of local area ADME</w:t>
            </w:r>
          </w:p>
          <w:p w14:paraId="75354EED" w14:textId="18B942D3" w:rsidR="000A516D" w:rsidRPr="005601D8" w:rsidRDefault="000A516D" w:rsidP="005601D8">
            <w:pPr>
              <w:pStyle w:val="ListBullet"/>
              <w:rPr>
                <w:rFonts w:cs="Arial"/>
                <w:bCs/>
                <w:color w:val="1E4164"/>
              </w:rPr>
            </w:pPr>
            <w:r w:rsidRPr="000A516D">
              <w:rPr>
                <w:rFonts w:cs="Arial"/>
                <w:bCs/>
                <w:color w:val="1E4164"/>
              </w:rPr>
              <w:t>UFE for the local area by metering data version, i.e. Prelim, Final, Rev 1 and Rev 2</w:t>
            </w:r>
            <w:r w:rsidR="008A11A4">
              <w:rPr>
                <w:rFonts w:cs="Arial"/>
                <w:bCs/>
                <w:color w:val="1E4164"/>
              </w:rPr>
              <w:t>.</w:t>
            </w:r>
          </w:p>
          <w:p w14:paraId="5B750D76" w14:textId="1900927F" w:rsidR="005601D8" w:rsidRDefault="005601D8" w:rsidP="005601D8">
            <w:pPr>
              <w:pStyle w:val="ListBullet"/>
              <w:numPr>
                <w:ilvl w:val="0"/>
                <w:numId w:val="0"/>
              </w:numPr>
              <w:ind w:left="426" w:hanging="284"/>
              <w:rPr>
                <w:rFonts w:cs="Arial"/>
                <w:bCs/>
                <w:color w:val="1E4164"/>
              </w:rPr>
            </w:pPr>
            <w:r>
              <w:rPr>
                <w:rFonts w:cs="Arial"/>
                <w:bCs/>
                <w:color w:val="1E4164"/>
              </w:rPr>
              <w:t>Q1. Do the proposed charts, provide sufficient information, in conjunction with the charts in Section 2. to facilitate UFE analysis?</w:t>
            </w:r>
          </w:p>
          <w:p w14:paraId="37C0CFDD" w14:textId="781EB855" w:rsidR="004A1836" w:rsidRDefault="00923DF7" w:rsidP="005601D8">
            <w:pPr>
              <w:pStyle w:val="ListBullet"/>
              <w:numPr>
                <w:ilvl w:val="0"/>
                <w:numId w:val="0"/>
              </w:numPr>
              <w:ind w:left="426" w:hanging="284"/>
              <w:rPr>
                <w:rFonts w:cs="Arial"/>
                <w:bCs/>
                <w:color w:val="1E4164"/>
              </w:rPr>
            </w:pPr>
            <w:r>
              <w:rPr>
                <w:rFonts w:cs="Arial"/>
                <w:bCs/>
                <w:color w:val="1E4164"/>
              </w:rPr>
              <w:t xml:space="preserve">Q2. </w:t>
            </w:r>
            <w:r w:rsidR="005601D8">
              <w:rPr>
                <w:rFonts w:cs="Arial"/>
                <w:bCs/>
                <w:color w:val="1E4164"/>
              </w:rPr>
              <w:t xml:space="preserve">If not, </w:t>
            </w:r>
            <w:r>
              <w:rPr>
                <w:rFonts w:cs="Arial"/>
                <w:bCs/>
                <w:color w:val="1E4164"/>
              </w:rPr>
              <w:t>which</w:t>
            </w:r>
            <w:r w:rsidR="005601D8">
              <w:rPr>
                <w:rFonts w:cs="Arial"/>
                <w:bCs/>
                <w:color w:val="1E4164"/>
              </w:rPr>
              <w:t xml:space="preserve"> other additional information </w:t>
            </w:r>
            <w:r w:rsidR="00DB3F36">
              <w:rPr>
                <w:rFonts w:cs="Arial"/>
                <w:bCs/>
                <w:color w:val="1E4164"/>
              </w:rPr>
              <w:t xml:space="preserve">is </w:t>
            </w:r>
            <w:r w:rsidR="005601D8">
              <w:rPr>
                <w:rFonts w:cs="Arial"/>
                <w:bCs/>
                <w:color w:val="1E4164"/>
              </w:rPr>
              <w:t>required</w:t>
            </w:r>
            <w:r>
              <w:rPr>
                <w:rFonts w:cs="Arial"/>
                <w:bCs/>
                <w:color w:val="1E4164"/>
              </w:rPr>
              <w:t>?  Provide details of other additional information required</w:t>
            </w:r>
            <w:r w:rsidR="00815FC3">
              <w:rPr>
                <w:rFonts w:cs="Arial"/>
                <w:bCs/>
                <w:color w:val="1E4164"/>
              </w:rPr>
              <w:t xml:space="preserve"> and the benefits </w:t>
            </w:r>
            <w:r w:rsidR="008A11A4">
              <w:rPr>
                <w:rFonts w:cs="Arial"/>
                <w:bCs/>
                <w:color w:val="1E4164"/>
              </w:rPr>
              <w:t xml:space="preserve">of </w:t>
            </w:r>
            <w:r w:rsidR="00815FC3">
              <w:rPr>
                <w:rFonts w:cs="Arial"/>
                <w:bCs/>
                <w:color w:val="1E4164"/>
              </w:rPr>
              <w:t>providing the additional information</w:t>
            </w:r>
            <w:r>
              <w:rPr>
                <w:rFonts w:cs="Arial"/>
                <w:bCs/>
                <w:color w:val="1E4164"/>
              </w:rPr>
              <w:t>.</w:t>
            </w:r>
          </w:p>
          <w:p w14:paraId="791499AD" w14:textId="102A09A6" w:rsidR="005601D8" w:rsidRPr="0066019F" w:rsidRDefault="004A1836" w:rsidP="005601D8">
            <w:pPr>
              <w:pStyle w:val="ListBullet"/>
              <w:numPr>
                <w:ilvl w:val="0"/>
                <w:numId w:val="0"/>
              </w:numPr>
              <w:ind w:left="426" w:hanging="284"/>
              <w:rPr>
                <w:rFonts w:cs="Arial"/>
                <w:bCs/>
                <w:color w:val="1E4164"/>
              </w:rPr>
            </w:pPr>
            <w:r>
              <w:rPr>
                <w:rFonts w:cs="Arial"/>
                <w:bCs/>
                <w:color w:val="1E4164"/>
              </w:rPr>
              <w:t>Q3. Who holds the additional information?</w:t>
            </w:r>
          </w:p>
        </w:tc>
        <w:tc>
          <w:tcPr>
            <w:tcW w:w="7371" w:type="dxa"/>
          </w:tcPr>
          <w:p w14:paraId="26587863" w14:textId="107F1332" w:rsidR="001C6D68" w:rsidRPr="000872A1" w:rsidRDefault="001C6D68" w:rsidP="00853045">
            <w:pPr>
              <w:spacing w:before="120" w:after="120"/>
              <w:rPr>
                <w:rFonts w:cs="Arial"/>
                <w:color w:val="1E4164"/>
              </w:rPr>
            </w:pPr>
          </w:p>
        </w:tc>
      </w:tr>
      <w:tr w:rsidR="001C6D68" w:rsidRPr="00E8425D" w14:paraId="0EF506D3" w14:textId="77777777" w:rsidTr="2244D7D9">
        <w:tc>
          <w:tcPr>
            <w:tcW w:w="1134" w:type="dxa"/>
            <w:shd w:val="clear" w:color="auto" w:fill="auto"/>
          </w:tcPr>
          <w:p w14:paraId="4DF2C99E" w14:textId="6A1A8BFE" w:rsidR="001C6D68" w:rsidRDefault="001C6D68" w:rsidP="00853045">
            <w:pPr>
              <w:rPr>
                <w:rFonts w:ascii="Arial" w:hAnsi="Arial" w:cs="Arial"/>
              </w:rPr>
            </w:pPr>
          </w:p>
        </w:tc>
        <w:tc>
          <w:tcPr>
            <w:tcW w:w="4536" w:type="dxa"/>
            <w:shd w:val="clear" w:color="auto" w:fill="auto"/>
          </w:tcPr>
          <w:p w14:paraId="762D81F8" w14:textId="17797494" w:rsidR="001C6D68" w:rsidRPr="0066019F" w:rsidRDefault="001C6D68" w:rsidP="00195D91">
            <w:pPr>
              <w:rPr>
                <w:rFonts w:ascii="Arial" w:hAnsi="Arial" w:cs="Arial"/>
                <w:bCs/>
                <w:color w:val="1E4164"/>
                <w:lang w:eastAsia="en-US"/>
              </w:rPr>
            </w:pPr>
          </w:p>
        </w:tc>
        <w:tc>
          <w:tcPr>
            <w:tcW w:w="7371" w:type="dxa"/>
          </w:tcPr>
          <w:p w14:paraId="4AE0038D" w14:textId="41F86BAC" w:rsidR="001C6D68" w:rsidRPr="000872A1" w:rsidRDefault="001C6D68" w:rsidP="00853045">
            <w:pPr>
              <w:spacing w:before="120" w:after="120"/>
              <w:rPr>
                <w:rFonts w:cs="Arial"/>
                <w:color w:val="1E4164"/>
              </w:rPr>
            </w:pPr>
          </w:p>
        </w:tc>
      </w:tr>
    </w:tbl>
    <w:p w14:paraId="164EE28A" w14:textId="67D3747B" w:rsidR="0008262D" w:rsidRDefault="0008262D" w:rsidP="00183FAD">
      <w:pPr>
        <w:pStyle w:val="Heading1"/>
      </w:pPr>
      <w:bookmarkStart w:id="3" w:name="_Toc528233951"/>
      <w:bookmarkStart w:id="4" w:name="_Toc109659469"/>
      <w:bookmarkEnd w:id="1"/>
      <w:r w:rsidRPr="00183FAD">
        <w:lastRenderedPageBreak/>
        <w:t xml:space="preserve">Other Issues Related to </w:t>
      </w:r>
      <w:r w:rsidR="007F2FFD">
        <w:t>the UFE Reporting Guidelines</w:t>
      </w:r>
      <w:bookmarkEnd w:id="3"/>
      <w:bookmarkEnd w:id="4"/>
    </w:p>
    <w:p w14:paraId="101C0A5D" w14:textId="77777777" w:rsidR="009D302D" w:rsidRDefault="009D302D" w:rsidP="009D302D">
      <w:pPr>
        <w:rPr>
          <w:rFonts w:ascii="Arial" w:hAnsi="Arial" w:cs="Arial"/>
          <w:color w:val="1E4164"/>
          <w:lang w:eastAsia="en-US"/>
        </w:rPr>
      </w:pPr>
    </w:p>
    <w:p w14:paraId="36288CD1" w14:textId="4D658DE3" w:rsidR="009D302D" w:rsidRPr="009D302D" w:rsidRDefault="009D302D" w:rsidP="009D302D">
      <w:pPr>
        <w:rPr>
          <w:rFonts w:ascii="Arial" w:hAnsi="Arial" w:cs="Arial"/>
          <w:color w:val="1E4164"/>
          <w:lang w:eastAsia="en-US"/>
        </w:rPr>
      </w:pPr>
      <w:r w:rsidRPr="009D302D">
        <w:rPr>
          <w:rFonts w:ascii="Arial" w:hAnsi="Arial" w:cs="Arial"/>
          <w:color w:val="1E4164"/>
          <w:lang w:eastAsia="en-US"/>
        </w:rPr>
        <w:t xml:space="preserve">Stakeholders </w:t>
      </w:r>
      <w:r>
        <w:rPr>
          <w:rFonts w:ascii="Arial" w:hAnsi="Arial" w:cs="Arial"/>
          <w:color w:val="1E4164"/>
          <w:lang w:eastAsia="en-US"/>
        </w:rPr>
        <w:t xml:space="preserve">to provide details of other UFE related aspects that have not been included in the proposed </w:t>
      </w:r>
      <w:r w:rsidRPr="009D302D">
        <w:rPr>
          <w:rFonts w:ascii="Arial" w:hAnsi="Arial" w:cs="Arial"/>
          <w:i/>
          <w:iCs/>
          <w:color w:val="1E4164"/>
          <w:lang w:eastAsia="en-US"/>
        </w:rPr>
        <w:t>UFE reporting guidelines</w:t>
      </w:r>
      <w:r w:rsidR="00815FC3">
        <w:rPr>
          <w:rFonts w:ascii="Arial" w:hAnsi="Arial" w:cs="Arial"/>
          <w:color w:val="1E4164"/>
          <w:lang w:eastAsia="en-US"/>
        </w:rPr>
        <w:t xml:space="preserve"> and provide details of the benefits of these additional reporting items.</w:t>
      </w:r>
    </w:p>
    <w:tbl>
      <w:tblPr>
        <w:tblW w:w="130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1"/>
      </w:tblGrid>
      <w:tr w:rsidR="00425403" w14:paraId="3E4DFE54" w14:textId="77777777" w:rsidTr="00425403">
        <w:trPr>
          <w:tblHeader/>
        </w:trPr>
        <w:tc>
          <w:tcPr>
            <w:tcW w:w="13041" w:type="dxa"/>
            <w:tcBorders>
              <w:top w:val="single" w:sz="4" w:space="0" w:color="auto"/>
              <w:left w:val="single" w:sz="4" w:space="0" w:color="auto"/>
              <w:bottom w:val="single" w:sz="4" w:space="0" w:color="auto"/>
              <w:right w:val="single" w:sz="4" w:space="0" w:color="auto"/>
            </w:tcBorders>
            <w:shd w:val="clear" w:color="auto" w:fill="D9D9D9"/>
            <w:hideMark/>
          </w:tcPr>
          <w:p w14:paraId="4B1D4E34" w14:textId="77777777" w:rsidR="00425403" w:rsidRDefault="00425403">
            <w:pPr>
              <w:keepNext/>
              <w:spacing w:before="120" w:after="120"/>
              <w:outlineLvl w:val="1"/>
              <w:rPr>
                <w:color w:val="1E4164"/>
              </w:rPr>
            </w:pPr>
            <w:r>
              <w:rPr>
                <w:rFonts w:ascii="Calibri Light" w:hAnsi="Calibri Light"/>
                <w:b/>
                <w:bCs/>
                <w:iCs/>
                <w:sz w:val="28"/>
                <w:szCs w:val="28"/>
              </w:rPr>
              <w:t>Participant Comments</w:t>
            </w:r>
          </w:p>
        </w:tc>
      </w:tr>
      <w:tr w:rsidR="00425403" w14:paraId="38E35373" w14:textId="77777777" w:rsidTr="00425403">
        <w:tc>
          <w:tcPr>
            <w:tcW w:w="13041" w:type="dxa"/>
            <w:tcBorders>
              <w:top w:val="single" w:sz="4" w:space="0" w:color="auto"/>
              <w:left w:val="single" w:sz="4" w:space="0" w:color="auto"/>
              <w:bottom w:val="single" w:sz="4" w:space="0" w:color="auto"/>
              <w:right w:val="single" w:sz="4" w:space="0" w:color="auto"/>
            </w:tcBorders>
          </w:tcPr>
          <w:p w14:paraId="5122A366" w14:textId="77777777" w:rsidR="00425403" w:rsidRDefault="00425403">
            <w:pPr>
              <w:spacing w:before="120" w:after="120"/>
              <w:rPr>
                <w:rFonts w:cs="Arial"/>
                <w:color w:val="1E4164"/>
              </w:rPr>
            </w:pPr>
          </w:p>
        </w:tc>
      </w:tr>
      <w:tr w:rsidR="00AA6E33" w14:paraId="09D2E865" w14:textId="77777777" w:rsidTr="00425403">
        <w:tc>
          <w:tcPr>
            <w:tcW w:w="13041" w:type="dxa"/>
            <w:tcBorders>
              <w:top w:val="single" w:sz="4" w:space="0" w:color="auto"/>
              <w:left w:val="single" w:sz="4" w:space="0" w:color="auto"/>
              <w:bottom w:val="single" w:sz="4" w:space="0" w:color="auto"/>
              <w:right w:val="single" w:sz="4" w:space="0" w:color="auto"/>
            </w:tcBorders>
          </w:tcPr>
          <w:p w14:paraId="4D672A69" w14:textId="77777777" w:rsidR="00AA6E33" w:rsidRDefault="00AA6E33">
            <w:pPr>
              <w:spacing w:before="120" w:after="120"/>
              <w:rPr>
                <w:rFonts w:cs="Arial"/>
                <w:color w:val="1E4164"/>
              </w:rPr>
            </w:pPr>
          </w:p>
        </w:tc>
      </w:tr>
      <w:tr w:rsidR="00AA6E33" w14:paraId="4DE16C7D" w14:textId="77777777" w:rsidTr="00425403">
        <w:tc>
          <w:tcPr>
            <w:tcW w:w="13041" w:type="dxa"/>
            <w:tcBorders>
              <w:top w:val="single" w:sz="4" w:space="0" w:color="auto"/>
              <w:left w:val="single" w:sz="4" w:space="0" w:color="auto"/>
              <w:bottom w:val="single" w:sz="4" w:space="0" w:color="auto"/>
              <w:right w:val="single" w:sz="4" w:space="0" w:color="auto"/>
            </w:tcBorders>
          </w:tcPr>
          <w:p w14:paraId="105FFFB5" w14:textId="77777777" w:rsidR="00AA6E33" w:rsidRDefault="00AA6E33">
            <w:pPr>
              <w:spacing w:before="120" w:after="120"/>
              <w:rPr>
                <w:rFonts w:cs="Arial"/>
                <w:color w:val="1E4164"/>
              </w:rPr>
            </w:pPr>
          </w:p>
        </w:tc>
      </w:tr>
    </w:tbl>
    <w:p w14:paraId="040542FD" w14:textId="77777777" w:rsidR="0008262D" w:rsidRPr="0008262D" w:rsidRDefault="0008262D" w:rsidP="0008262D"/>
    <w:sectPr w:rsidR="0008262D" w:rsidRPr="0008262D" w:rsidSect="00276151">
      <w:headerReference w:type="default" r:id="rId13"/>
      <w:footerReference w:type="default" r:id="rId14"/>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ABE1" w14:textId="77777777" w:rsidR="001327BC" w:rsidRDefault="001327BC">
      <w:pPr>
        <w:spacing w:after="0" w:line="240" w:lineRule="auto"/>
      </w:pPr>
      <w:r>
        <w:separator/>
      </w:r>
    </w:p>
  </w:endnote>
  <w:endnote w:type="continuationSeparator" w:id="0">
    <w:p w14:paraId="3B82E620" w14:textId="77777777" w:rsidR="001327BC" w:rsidRDefault="001327BC">
      <w:pPr>
        <w:spacing w:after="0" w:line="240" w:lineRule="auto"/>
      </w:pPr>
      <w:r>
        <w:continuationSeparator/>
      </w:r>
    </w:p>
  </w:endnote>
  <w:endnote w:type="continuationNotice" w:id="1">
    <w:p w14:paraId="080FDD18" w14:textId="77777777" w:rsidR="001327BC" w:rsidRDefault="00132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32701E17" w:usb1="0A8F1B9C" w:usb2="00000000" w:usb3="00000006" w:csb0="00000006" w:csb1="326F7E7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907C" w14:textId="77777777" w:rsidR="00CF6301" w:rsidRDefault="00CF6301" w:rsidP="002F7A2B">
    <w:pPr>
      <w:pStyle w:val="Footer"/>
      <w:pBdr>
        <w:bottom w:val="single" w:sz="6" w:space="1" w:color="auto"/>
      </w:pBdr>
      <w:rPr>
        <w:caps/>
      </w:rPr>
    </w:pPr>
  </w:p>
  <w:p w14:paraId="20DECD33" w14:textId="2ABD57A7" w:rsidR="00CF6301" w:rsidRPr="00CF2090" w:rsidRDefault="00B96ABD" w:rsidP="002F7A2B">
    <w:pPr>
      <w:pStyle w:val="Footer"/>
    </w:pPr>
    <w:r>
      <w:t xml:space="preserve">First Stage </w:t>
    </w:r>
    <w:r w:rsidR="00CF6301">
      <w:t>Consultation - P</w:t>
    </w:r>
    <w:r w:rsidR="00CF6301" w:rsidRPr="008131CE">
      <w:t>articipant</w:t>
    </w:r>
    <w:r w:rsidR="00CF6301">
      <w:t xml:space="preserve"> Response P</w:t>
    </w:r>
    <w:r w:rsidR="00CF6301" w:rsidRPr="008131CE">
      <w:t>ack</w:t>
    </w:r>
    <w:r w:rsidR="00CF6301">
      <w:tab/>
    </w:r>
    <w:r w:rsidR="00CF6301">
      <w:tab/>
    </w:r>
    <w:r w:rsidR="00CF6301">
      <w:tab/>
    </w:r>
    <w:r w:rsidR="00CF6301">
      <w:tab/>
    </w:r>
    <w:r w:rsidR="00CF6301">
      <w:tab/>
    </w:r>
    <w:r w:rsidR="00CF6301">
      <w:tab/>
    </w:r>
    <w:r w:rsidR="00CF6301">
      <w:tab/>
    </w:r>
    <w:r w:rsidR="00CF6301" w:rsidRPr="00CF2090">
      <w:t xml:space="preserve">Page </w:t>
    </w:r>
    <w:r w:rsidR="00CF6301">
      <w:fldChar w:fldCharType="begin"/>
    </w:r>
    <w:r w:rsidR="00CF6301">
      <w:instrText xml:space="preserve"> PAGE </w:instrText>
    </w:r>
    <w:r w:rsidR="00CF6301">
      <w:fldChar w:fldCharType="separate"/>
    </w:r>
    <w:r w:rsidR="00134220">
      <w:rPr>
        <w:noProof/>
      </w:rPr>
      <w:t>9</w:t>
    </w:r>
    <w:r w:rsidR="00CF6301">
      <w:rPr>
        <w:noProof/>
      </w:rPr>
      <w:fldChar w:fldCharType="end"/>
    </w:r>
    <w:r w:rsidR="00CF6301" w:rsidRPr="00CF2090">
      <w:t xml:space="preserve"> of </w:t>
    </w:r>
    <w:r>
      <w:fldChar w:fldCharType="begin"/>
    </w:r>
    <w:r>
      <w:instrText>NUMPAGES</w:instrText>
    </w:r>
    <w:r>
      <w:fldChar w:fldCharType="separate"/>
    </w:r>
    <w:r w:rsidR="00134220">
      <w:rPr>
        <w:noProof/>
      </w:rPr>
      <w:t>9</w:t>
    </w:r>
    <w:r>
      <w:fldChar w:fldCharType="end"/>
    </w:r>
  </w:p>
  <w:p w14:paraId="1E72E396"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F297" w14:textId="77777777" w:rsidR="001327BC" w:rsidRDefault="001327BC">
      <w:pPr>
        <w:spacing w:after="0" w:line="240" w:lineRule="auto"/>
      </w:pPr>
      <w:r>
        <w:separator/>
      </w:r>
    </w:p>
  </w:footnote>
  <w:footnote w:type="continuationSeparator" w:id="0">
    <w:p w14:paraId="454C9F78" w14:textId="77777777" w:rsidR="001327BC" w:rsidRDefault="001327BC">
      <w:pPr>
        <w:spacing w:after="0" w:line="240" w:lineRule="auto"/>
      </w:pPr>
      <w:r>
        <w:continuationSeparator/>
      </w:r>
    </w:p>
  </w:footnote>
  <w:footnote w:type="continuationNotice" w:id="1">
    <w:p w14:paraId="273B0351" w14:textId="77777777" w:rsidR="001327BC" w:rsidRDefault="00132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A23B" w14:textId="77777777" w:rsidR="009A260E" w:rsidRDefault="009A260E">
    <w:pPr>
      <w:pStyle w:val="Header"/>
    </w:pPr>
  </w:p>
  <w:p w14:paraId="6F2FAF29" w14:textId="77777777" w:rsidR="009A260E" w:rsidRDefault="009A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B689" w14:textId="6037F7C4" w:rsidR="00CF6301" w:rsidRDefault="007F2FFD" w:rsidP="008131CE">
    <w:pPr>
      <w:pStyle w:val="Header"/>
      <w:pBdr>
        <w:bottom w:val="single" w:sz="6" w:space="1" w:color="auto"/>
      </w:pBdr>
    </w:pPr>
    <w:r>
      <w:t>UFE Reporting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31CB"/>
    <w:multiLevelType w:val="multilevel"/>
    <w:tmpl w:val="72708BB4"/>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 w15:restartNumberingAfterBreak="0">
    <w:nsid w:val="245917BD"/>
    <w:multiLevelType w:val="hybridMultilevel"/>
    <w:tmpl w:val="B91E2962"/>
    <w:lvl w:ilvl="0" w:tplc="A0E60CA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736172"/>
    <w:multiLevelType w:val="hybridMultilevel"/>
    <w:tmpl w:val="288CC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318C5B1"/>
    <w:multiLevelType w:val="multilevel"/>
    <w:tmpl w:val="5438709E"/>
    <w:lvl w:ilvl="0">
      <w:start w:val="1"/>
      <w:numFmt w:val="bullet"/>
      <w:lvlText w:val=""/>
      <w:lvlJc w:val="left"/>
      <w:pPr>
        <w:ind w:left="709"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430E3A"/>
    <w:multiLevelType w:val="hybridMultilevel"/>
    <w:tmpl w:val="D4B8588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8"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0" w15:restartNumberingAfterBreak="0">
    <w:nsid w:val="71DD753E"/>
    <w:multiLevelType w:val="hybridMultilevel"/>
    <w:tmpl w:val="49D24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B91B59"/>
    <w:multiLevelType w:val="hybridMultilevel"/>
    <w:tmpl w:val="BD4A4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C97ABF"/>
    <w:multiLevelType w:val="hybridMultilevel"/>
    <w:tmpl w:val="F3CED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3"/>
  </w:num>
  <w:num w:numId="5">
    <w:abstractNumId w:val="1"/>
  </w:num>
  <w:num w:numId="6">
    <w:abstractNumId w:val="1"/>
  </w:num>
  <w:num w:numId="7">
    <w:abstractNumId w:val="1"/>
  </w:num>
  <w:num w:numId="8">
    <w:abstractNumId w:val="4"/>
  </w:num>
  <w:num w:numId="9">
    <w:abstractNumId w:val="8"/>
  </w:num>
  <w:num w:numId="10">
    <w:abstractNumId w:val="1"/>
  </w:num>
  <w:num w:numId="11">
    <w:abstractNumId w:val="0"/>
  </w:num>
  <w:num w:numId="12">
    <w:abstractNumId w:val="1"/>
    <w:lvlOverride w:ilvl="0">
      <w:startOverride w:val="1"/>
    </w:lvlOverride>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11"/>
  </w:num>
  <w:num w:numId="23">
    <w:abstractNumId w:val="1"/>
  </w:num>
  <w:num w:numId="24">
    <w:abstractNumId w:val="1"/>
    <w:lvlOverride w:ilvl="0">
      <w:startOverride w:val="1"/>
    </w:lvlOverride>
  </w:num>
  <w:num w:numId="25">
    <w:abstractNumId w:val="1"/>
    <w:lvlOverride w:ilvl="0">
      <w:startOverride w:val="1"/>
    </w:lvlOverride>
  </w:num>
  <w:num w:numId="26">
    <w:abstractNumId w:val="1"/>
  </w:num>
  <w:num w:numId="27">
    <w:abstractNumId w:val="2"/>
  </w:num>
  <w:num w:numId="28">
    <w:abstractNumId w:val="1"/>
  </w:num>
  <w:num w:numId="29">
    <w:abstractNumId w:val="1"/>
  </w:num>
  <w:num w:numId="30">
    <w:abstractNumId w:val="1"/>
  </w:num>
  <w:num w:numId="31">
    <w:abstractNumId w:val="1"/>
  </w:num>
  <w:num w:numId="32">
    <w:abstractNumId w:val="6"/>
  </w:num>
  <w:num w:numId="33">
    <w:abstractNumId w:val="1"/>
    <w:lvlOverride w:ilvl="0">
      <w:startOverride w:val="1"/>
    </w:lvlOverride>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3"/>
    <w:rsid w:val="00000450"/>
    <w:rsid w:val="00000C64"/>
    <w:rsid w:val="0000388E"/>
    <w:rsid w:val="00003A8A"/>
    <w:rsid w:val="00005E96"/>
    <w:rsid w:val="00007085"/>
    <w:rsid w:val="000247C6"/>
    <w:rsid w:val="000272C2"/>
    <w:rsid w:val="00032243"/>
    <w:rsid w:val="00032608"/>
    <w:rsid w:val="000379D2"/>
    <w:rsid w:val="000450D6"/>
    <w:rsid w:val="000542A8"/>
    <w:rsid w:val="00062818"/>
    <w:rsid w:val="000740AE"/>
    <w:rsid w:val="000756C5"/>
    <w:rsid w:val="00076A91"/>
    <w:rsid w:val="000770C3"/>
    <w:rsid w:val="0008262D"/>
    <w:rsid w:val="000872A1"/>
    <w:rsid w:val="00094A33"/>
    <w:rsid w:val="000955F9"/>
    <w:rsid w:val="0009576F"/>
    <w:rsid w:val="00097398"/>
    <w:rsid w:val="000A1874"/>
    <w:rsid w:val="000A2D40"/>
    <w:rsid w:val="000A44EC"/>
    <w:rsid w:val="000A516D"/>
    <w:rsid w:val="000A51F3"/>
    <w:rsid w:val="000A69C0"/>
    <w:rsid w:val="000B2F70"/>
    <w:rsid w:val="000B409D"/>
    <w:rsid w:val="000C1C1D"/>
    <w:rsid w:val="000C4182"/>
    <w:rsid w:val="000C4A78"/>
    <w:rsid w:val="000D04A8"/>
    <w:rsid w:val="000D20AD"/>
    <w:rsid w:val="000D6BEB"/>
    <w:rsid w:val="000E3C7A"/>
    <w:rsid w:val="000F32EF"/>
    <w:rsid w:val="000F34D3"/>
    <w:rsid w:val="001002C2"/>
    <w:rsid w:val="0010170F"/>
    <w:rsid w:val="00103ECF"/>
    <w:rsid w:val="001045D4"/>
    <w:rsid w:val="00106E02"/>
    <w:rsid w:val="0010754E"/>
    <w:rsid w:val="00111762"/>
    <w:rsid w:val="00116F92"/>
    <w:rsid w:val="00117617"/>
    <w:rsid w:val="00120667"/>
    <w:rsid w:val="00121E8A"/>
    <w:rsid w:val="00123490"/>
    <w:rsid w:val="00124AE3"/>
    <w:rsid w:val="0013195B"/>
    <w:rsid w:val="00132559"/>
    <w:rsid w:val="001327BC"/>
    <w:rsid w:val="00134220"/>
    <w:rsid w:val="00135569"/>
    <w:rsid w:val="00144769"/>
    <w:rsid w:val="001503BC"/>
    <w:rsid w:val="00150685"/>
    <w:rsid w:val="00152F25"/>
    <w:rsid w:val="00154DF2"/>
    <w:rsid w:val="00164FC9"/>
    <w:rsid w:val="001654CB"/>
    <w:rsid w:val="001720B4"/>
    <w:rsid w:val="0017755A"/>
    <w:rsid w:val="0018125E"/>
    <w:rsid w:val="00183FAD"/>
    <w:rsid w:val="00186C39"/>
    <w:rsid w:val="0019191C"/>
    <w:rsid w:val="0019276B"/>
    <w:rsid w:val="00193911"/>
    <w:rsid w:val="001947BD"/>
    <w:rsid w:val="00194969"/>
    <w:rsid w:val="00195D91"/>
    <w:rsid w:val="0019641A"/>
    <w:rsid w:val="001A16B6"/>
    <w:rsid w:val="001A2989"/>
    <w:rsid w:val="001A3E53"/>
    <w:rsid w:val="001A42C5"/>
    <w:rsid w:val="001B264B"/>
    <w:rsid w:val="001B26C6"/>
    <w:rsid w:val="001B3A3F"/>
    <w:rsid w:val="001B471A"/>
    <w:rsid w:val="001B727A"/>
    <w:rsid w:val="001C1FBB"/>
    <w:rsid w:val="001C230B"/>
    <w:rsid w:val="001C4CCA"/>
    <w:rsid w:val="001C6D68"/>
    <w:rsid w:val="001C7FD0"/>
    <w:rsid w:val="001D405F"/>
    <w:rsid w:val="001D7ADF"/>
    <w:rsid w:val="001E2F48"/>
    <w:rsid w:val="001E5F5B"/>
    <w:rsid w:val="001E6016"/>
    <w:rsid w:val="001E7027"/>
    <w:rsid w:val="001F1025"/>
    <w:rsid w:val="001F6570"/>
    <w:rsid w:val="00201ED7"/>
    <w:rsid w:val="00204025"/>
    <w:rsid w:val="0021347D"/>
    <w:rsid w:val="00213C21"/>
    <w:rsid w:val="00214A0E"/>
    <w:rsid w:val="00215375"/>
    <w:rsid w:val="00217D16"/>
    <w:rsid w:val="002227B8"/>
    <w:rsid w:val="00224197"/>
    <w:rsid w:val="00225F0E"/>
    <w:rsid w:val="00230A66"/>
    <w:rsid w:val="00231433"/>
    <w:rsid w:val="00232C46"/>
    <w:rsid w:val="0023507E"/>
    <w:rsid w:val="002402B2"/>
    <w:rsid w:val="00242284"/>
    <w:rsid w:val="00244008"/>
    <w:rsid w:val="0025000B"/>
    <w:rsid w:val="00251655"/>
    <w:rsid w:val="00253DAD"/>
    <w:rsid w:val="00260F85"/>
    <w:rsid w:val="00262726"/>
    <w:rsid w:val="00265622"/>
    <w:rsid w:val="00270564"/>
    <w:rsid w:val="00273549"/>
    <w:rsid w:val="00276151"/>
    <w:rsid w:val="00281A62"/>
    <w:rsid w:val="00281FF9"/>
    <w:rsid w:val="0028464F"/>
    <w:rsid w:val="002851DB"/>
    <w:rsid w:val="0029406F"/>
    <w:rsid w:val="00296492"/>
    <w:rsid w:val="002A37AF"/>
    <w:rsid w:val="002A6A05"/>
    <w:rsid w:val="002B139E"/>
    <w:rsid w:val="002B62A0"/>
    <w:rsid w:val="002C0E0F"/>
    <w:rsid w:val="002D224B"/>
    <w:rsid w:val="002E023E"/>
    <w:rsid w:val="002E0A1A"/>
    <w:rsid w:val="002E2287"/>
    <w:rsid w:val="002E34EF"/>
    <w:rsid w:val="002E5779"/>
    <w:rsid w:val="002E5E79"/>
    <w:rsid w:val="002E65BC"/>
    <w:rsid w:val="002E7A1B"/>
    <w:rsid w:val="002F0860"/>
    <w:rsid w:val="002F2D5D"/>
    <w:rsid w:val="002F4F7A"/>
    <w:rsid w:val="002F70DC"/>
    <w:rsid w:val="002F7A2B"/>
    <w:rsid w:val="00304765"/>
    <w:rsid w:val="00320F48"/>
    <w:rsid w:val="00325B12"/>
    <w:rsid w:val="00326838"/>
    <w:rsid w:val="00332ED8"/>
    <w:rsid w:val="003332E5"/>
    <w:rsid w:val="0033342E"/>
    <w:rsid w:val="00335946"/>
    <w:rsid w:val="00335E96"/>
    <w:rsid w:val="0034049C"/>
    <w:rsid w:val="00346C18"/>
    <w:rsid w:val="00352A6E"/>
    <w:rsid w:val="003555BC"/>
    <w:rsid w:val="003643DF"/>
    <w:rsid w:val="003776CB"/>
    <w:rsid w:val="0038159F"/>
    <w:rsid w:val="00383589"/>
    <w:rsid w:val="00384B89"/>
    <w:rsid w:val="00387B59"/>
    <w:rsid w:val="003902AF"/>
    <w:rsid w:val="00393F33"/>
    <w:rsid w:val="003959C6"/>
    <w:rsid w:val="003964BF"/>
    <w:rsid w:val="003A0997"/>
    <w:rsid w:val="003A1905"/>
    <w:rsid w:val="003A3033"/>
    <w:rsid w:val="003B1ADD"/>
    <w:rsid w:val="003C3FF1"/>
    <w:rsid w:val="003C66E9"/>
    <w:rsid w:val="003C6EA8"/>
    <w:rsid w:val="003D57A6"/>
    <w:rsid w:val="003D7F7B"/>
    <w:rsid w:val="003E2A8F"/>
    <w:rsid w:val="003E65BB"/>
    <w:rsid w:val="003E7DC8"/>
    <w:rsid w:val="003F24EF"/>
    <w:rsid w:val="0040105B"/>
    <w:rsid w:val="00402EBA"/>
    <w:rsid w:val="00413E88"/>
    <w:rsid w:val="004179F0"/>
    <w:rsid w:val="00423C49"/>
    <w:rsid w:val="00425403"/>
    <w:rsid w:val="004266B5"/>
    <w:rsid w:val="00430BF0"/>
    <w:rsid w:val="00431EEA"/>
    <w:rsid w:val="00436394"/>
    <w:rsid w:val="00437F0E"/>
    <w:rsid w:val="00440136"/>
    <w:rsid w:val="004410F9"/>
    <w:rsid w:val="00443F55"/>
    <w:rsid w:val="00444844"/>
    <w:rsid w:val="004478E7"/>
    <w:rsid w:val="004546F5"/>
    <w:rsid w:val="004553BB"/>
    <w:rsid w:val="00456D7F"/>
    <w:rsid w:val="00463300"/>
    <w:rsid w:val="00470CBB"/>
    <w:rsid w:val="00471B69"/>
    <w:rsid w:val="004755B4"/>
    <w:rsid w:val="004803AC"/>
    <w:rsid w:val="004813E7"/>
    <w:rsid w:val="00481A87"/>
    <w:rsid w:val="004847C6"/>
    <w:rsid w:val="00487657"/>
    <w:rsid w:val="00490CB6"/>
    <w:rsid w:val="0049192C"/>
    <w:rsid w:val="00496F7C"/>
    <w:rsid w:val="0049729A"/>
    <w:rsid w:val="004A1658"/>
    <w:rsid w:val="004A1836"/>
    <w:rsid w:val="004A4751"/>
    <w:rsid w:val="004B62FA"/>
    <w:rsid w:val="004C2CAC"/>
    <w:rsid w:val="004D0982"/>
    <w:rsid w:val="004D7302"/>
    <w:rsid w:val="004E020E"/>
    <w:rsid w:val="004E2194"/>
    <w:rsid w:val="004E46FB"/>
    <w:rsid w:val="004E4853"/>
    <w:rsid w:val="004E7AA5"/>
    <w:rsid w:val="004F0ECD"/>
    <w:rsid w:val="004F4FE9"/>
    <w:rsid w:val="004F5DE2"/>
    <w:rsid w:val="0050058B"/>
    <w:rsid w:val="00501C37"/>
    <w:rsid w:val="0050314F"/>
    <w:rsid w:val="00507E59"/>
    <w:rsid w:val="00511D11"/>
    <w:rsid w:val="0051345D"/>
    <w:rsid w:val="00514256"/>
    <w:rsid w:val="005173E4"/>
    <w:rsid w:val="00525618"/>
    <w:rsid w:val="00536DE8"/>
    <w:rsid w:val="00543F33"/>
    <w:rsid w:val="00547F6A"/>
    <w:rsid w:val="00554E33"/>
    <w:rsid w:val="005601D8"/>
    <w:rsid w:val="00564C4F"/>
    <w:rsid w:val="00564FC9"/>
    <w:rsid w:val="005650F3"/>
    <w:rsid w:val="00565581"/>
    <w:rsid w:val="00574216"/>
    <w:rsid w:val="0057495B"/>
    <w:rsid w:val="00576B74"/>
    <w:rsid w:val="00583810"/>
    <w:rsid w:val="00590EB8"/>
    <w:rsid w:val="005A45D4"/>
    <w:rsid w:val="005A6FA3"/>
    <w:rsid w:val="005C1FC7"/>
    <w:rsid w:val="005C6945"/>
    <w:rsid w:val="005D4413"/>
    <w:rsid w:val="005D682A"/>
    <w:rsid w:val="005E1A21"/>
    <w:rsid w:val="005E3F6F"/>
    <w:rsid w:val="005E6115"/>
    <w:rsid w:val="005F11F8"/>
    <w:rsid w:val="005F1AD6"/>
    <w:rsid w:val="005F2C62"/>
    <w:rsid w:val="005F3AA4"/>
    <w:rsid w:val="005F6C4F"/>
    <w:rsid w:val="005F74D0"/>
    <w:rsid w:val="00603486"/>
    <w:rsid w:val="00603A64"/>
    <w:rsid w:val="0060444E"/>
    <w:rsid w:val="0061271D"/>
    <w:rsid w:val="0061465B"/>
    <w:rsid w:val="00616789"/>
    <w:rsid w:val="00620EEE"/>
    <w:rsid w:val="00622E76"/>
    <w:rsid w:val="0062714F"/>
    <w:rsid w:val="00637742"/>
    <w:rsid w:val="00637AE1"/>
    <w:rsid w:val="00640167"/>
    <w:rsid w:val="006431A9"/>
    <w:rsid w:val="00653A61"/>
    <w:rsid w:val="00654030"/>
    <w:rsid w:val="0066019F"/>
    <w:rsid w:val="00660DD3"/>
    <w:rsid w:val="00663DC0"/>
    <w:rsid w:val="00664BAA"/>
    <w:rsid w:val="006700A7"/>
    <w:rsid w:val="006806A2"/>
    <w:rsid w:val="00681FB9"/>
    <w:rsid w:val="00683FC2"/>
    <w:rsid w:val="00686B89"/>
    <w:rsid w:val="006A0850"/>
    <w:rsid w:val="006A182F"/>
    <w:rsid w:val="006B2F91"/>
    <w:rsid w:val="006B756A"/>
    <w:rsid w:val="006C7681"/>
    <w:rsid w:val="006C7758"/>
    <w:rsid w:val="006D06A9"/>
    <w:rsid w:val="006D2C49"/>
    <w:rsid w:val="006E1020"/>
    <w:rsid w:val="006E2CE3"/>
    <w:rsid w:val="006E514F"/>
    <w:rsid w:val="006E7700"/>
    <w:rsid w:val="006F1193"/>
    <w:rsid w:val="006F2099"/>
    <w:rsid w:val="006F2D81"/>
    <w:rsid w:val="006F50CB"/>
    <w:rsid w:val="006F6C38"/>
    <w:rsid w:val="00700FE5"/>
    <w:rsid w:val="007034EF"/>
    <w:rsid w:val="00710682"/>
    <w:rsid w:val="0071467D"/>
    <w:rsid w:val="00714BC0"/>
    <w:rsid w:val="00720C28"/>
    <w:rsid w:val="007304EB"/>
    <w:rsid w:val="00731201"/>
    <w:rsid w:val="007339E8"/>
    <w:rsid w:val="00736A8B"/>
    <w:rsid w:val="00747470"/>
    <w:rsid w:val="007538AD"/>
    <w:rsid w:val="0075565E"/>
    <w:rsid w:val="00756230"/>
    <w:rsid w:val="007601E3"/>
    <w:rsid w:val="0076213B"/>
    <w:rsid w:val="00763AA9"/>
    <w:rsid w:val="00765109"/>
    <w:rsid w:val="00767A25"/>
    <w:rsid w:val="0077140A"/>
    <w:rsid w:val="00771D46"/>
    <w:rsid w:val="00777B01"/>
    <w:rsid w:val="0078368F"/>
    <w:rsid w:val="00786F1E"/>
    <w:rsid w:val="00791879"/>
    <w:rsid w:val="00793BF2"/>
    <w:rsid w:val="007951E2"/>
    <w:rsid w:val="00797088"/>
    <w:rsid w:val="007A74D8"/>
    <w:rsid w:val="007B2FB5"/>
    <w:rsid w:val="007B3206"/>
    <w:rsid w:val="007B3CCB"/>
    <w:rsid w:val="007B3FDF"/>
    <w:rsid w:val="007B5577"/>
    <w:rsid w:val="007B66ED"/>
    <w:rsid w:val="007B726B"/>
    <w:rsid w:val="007C28B2"/>
    <w:rsid w:val="007C53B5"/>
    <w:rsid w:val="007C61F6"/>
    <w:rsid w:val="007C65EB"/>
    <w:rsid w:val="007D0741"/>
    <w:rsid w:val="007D45E2"/>
    <w:rsid w:val="007D791F"/>
    <w:rsid w:val="007D7C9E"/>
    <w:rsid w:val="007E0055"/>
    <w:rsid w:val="007E5496"/>
    <w:rsid w:val="007E769F"/>
    <w:rsid w:val="007E79FF"/>
    <w:rsid w:val="007F03EF"/>
    <w:rsid w:val="007F1BB9"/>
    <w:rsid w:val="007F289E"/>
    <w:rsid w:val="007F2FFD"/>
    <w:rsid w:val="007F3A0C"/>
    <w:rsid w:val="00804897"/>
    <w:rsid w:val="00807267"/>
    <w:rsid w:val="008115C9"/>
    <w:rsid w:val="00811B68"/>
    <w:rsid w:val="008131CE"/>
    <w:rsid w:val="00815FC3"/>
    <w:rsid w:val="008210CA"/>
    <w:rsid w:val="00834EFA"/>
    <w:rsid w:val="008374A2"/>
    <w:rsid w:val="0084452B"/>
    <w:rsid w:val="00847149"/>
    <w:rsid w:val="00853045"/>
    <w:rsid w:val="00855C0C"/>
    <w:rsid w:val="00856CEA"/>
    <w:rsid w:val="0085781C"/>
    <w:rsid w:val="008600EC"/>
    <w:rsid w:val="00864DDD"/>
    <w:rsid w:val="00864F1D"/>
    <w:rsid w:val="00865557"/>
    <w:rsid w:val="00865840"/>
    <w:rsid w:val="00866657"/>
    <w:rsid w:val="00876296"/>
    <w:rsid w:val="0088640D"/>
    <w:rsid w:val="00893B68"/>
    <w:rsid w:val="00895B86"/>
    <w:rsid w:val="00897AB4"/>
    <w:rsid w:val="008A11A4"/>
    <w:rsid w:val="008A70AA"/>
    <w:rsid w:val="008B08D5"/>
    <w:rsid w:val="008B0FB0"/>
    <w:rsid w:val="008B3A0D"/>
    <w:rsid w:val="008B5BB3"/>
    <w:rsid w:val="008B7BBB"/>
    <w:rsid w:val="008C5D84"/>
    <w:rsid w:val="008C5E37"/>
    <w:rsid w:val="008C78D5"/>
    <w:rsid w:val="008C7EE4"/>
    <w:rsid w:val="008D402F"/>
    <w:rsid w:val="008D4655"/>
    <w:rsid w:val="008D5D22"/>
    <w:rsid w:val="008D6BAC"/>
    <w:rsid w:val="008E0330"/>
    <w:rsid w:val="008F6FEA"/>
    <w:rsid w:val="008F7327"/>
    <w:rsid w:val="00902003"/>
    <w:rsid w:val="0090230F"/>
    <w:rsid w:val="00905644"/>
    <w:rsid w:val="0090725D"/>
    <w:rsid w:val="00912951"/>
    <w:rsid w:val="009144E9"/>
    <w:rsid w:val="00916795"/>
    <w:rsid w:val="00923BAC"/>
    <w:rsid w:val="00923D4A"/>
    <w:rsid w:val="00923DF7"/>
    <w:rsid w:val="00925B22"/>
    <w:rsid w:val="009346CA"/>
    <w:rsid w:val="009436AB"/>
    <w:rsid w:val="009443E9"/>
    <w:rsid w:val="0095056C"/>
    <w:rsid w:val="00954862"/>
    <w:rsid w:val="00963229"/>
    <w:rsid w:val="0098154C"/>
    <w:rsid w:val="00981D36"/>
    <w:rsid w:val="00984D0D"/>
    <w:rsid w:val="009877DB"/>
    <w:rsid w:val="009934B7"/>
    <w:rsid w:val="00994808"/>
    <w:rsid w:val="00995FC0"/>
    <w:rsid w:val="00997A0F"/>
    <w:rsid w:val="00997C15"/>
    <w:rsid w:val="009A191D"/>
    <w:rsid w:val="009A1C1F"/>
    <w:rsid w:val="009A260E"/>
    <w:rsid w:val="009A419F"/>
    <w:rsid w:val="009B6A50"/>
    <w:rsid w:val="009C4EC0"/>
    <w:rsid w:val="009C4F21"/>
    <w:rsid w:val="009D1D02"/>
    <w:rsid w:val="009D302D"/>
    <w:rsid w:val="009D5656"/>
    <w:rsid w:val="009E1488"/>
    <w:rsid w:val="009E6E47"/>
    <w:rsid w:val="009F10FB"/>
    <w:rsid w:val="009F56DE"/>
    <w:rsid w:val="00A00AC0"/>
    <w:rsid w:val="00A02D5B"/>
    <w:rsid w:val="00A1184A"/>
    <w:rsid w:val="00A13772"/>
    <w:rsid w:val="00A17E36"/>
    <w:rsid w:val="00A248D1"/>
    <w:rsid w:val="00A249FD"/>
    <w:rsid w:val="00A37BD7"/>
    <w:rsid w:val="00A41B26"/>
    <w:rsid w:val="00A47CCB"/>
    <w:rsid w:val="00A5410E"/>
    <w:rsid w:val="00A64814"/>
    <w:rsid w:val="00A6586A"/>
    <w:rsid w:val="00A65FEB"/>
    <w:rsid w:val="00A71500"/>
    <w:rsid w:val="00A717C1"/>
    <w:rsid w:val="00A73219"/>
    <w:rsid w:val="00A83898"/>
    <w:rsid w:val="00A83C07"/>
    <w:rsid w:val="00A8653E"/>
    <w:rsid w:val="00A92B48"/>
    <w:rsid w:val="00AA4D8F"/>
    <w:rsid w:val="00AA5323"/>
    <w:rsid w:val="00AA6B97"/>
    <w:rsid w:val="00AA6E33"/>
    <w:rsid w:val="00AB1F6A"/>
    <w:rsid w:val="00AB5F73"/>
    <w:rsid w:val="00AD16BE"/>
    <w:rsid w:val="00AD3312"/>
    <w:rsid w:val="00AD7079"/>
    <w:rsid w:val="00AE0E09"/>
    <w:rsid w:val="00AE5601"/>
    <w:rsid w:val="00AF00E3"/>
    <w:rsid w:val="00AF0756"/>
    <w:rsid w:val="00AF1202"/>
    <w:rsid w:val="00AF5735"/>
    <w:rsid w:val="00B00EEA"/>
    <w:rsid w:val="00B0282E"/>
    <w:rsid w:val="00B12809"/>
    <w:rsid w:val="00B16131"/>
    <w:rsid w:val="00B21041"/>
    <w:rsid w:val="00B21C3A"/>
    <w:rsid w:val="00B32003"/>
    <w:rsid w:val="00B330F9"/>
    <w:rsid w:val="00B33D27"/>
    <w:rsid w:val="00B35481"/>
    <w:rsid w:val="00B37020"/>
    <w:rsid w:val="00B401A2"/>
    <w:rsid w:val="00B56C83"/>
    <w:rsid w:val="00B72EDD"/>
    <w:rsid w:val="00B74F15"/>
    <w:rsid w:val="00B76F10"/>
    <w:rsid w:val="00B7794F"/>
    <w:rsid w:val="00B813A3"/>
    <w:rsid w:val="00B81E4B"/>
    <w:rsid w:val="00B84EDA"/>
    <w:rsid w:val="00B87FF8"/>
    <w:rsid w:val="00B919A4"/>
    <w:rsid w:val="00B93047"/>
    <w:rsid w:val="00B96ABD"/>
    <w:rsid w:val="00B97C42"/>
    <w:rsid w:val="00BA1B78"/>
    <w:rsid w:val="00BA1EBF"/>
    <w:rsid w:val="00BA200F"/>
    <w:rsid w:val="00BA3214"/>
    <w:rsid w:val="00BB3821"/>
    <w:rsid w:val="00BB55D3"/>
    <w:rsid w:val="00BC0CC4"/>
    <w:rsid w:val="00BC24A3"/>
    <w:rsid w:val="00BC58AD"/>
    <w:rsid w:val="00BC65D0"/>
    <w:rsid w:val="00BE3A65"/>
    <w:rsid w:val="00BE6649"/>
    <w:rsid w:val="00BF1389"/>
    <w:rsid w:val="00BF3F7D"/>
    <w:rsid w:val="00BF4AEC"/>
    <w:rsid w:val="00BF7CC4"/>
    <w:rsid w:val="00C01963"/>
    <w:rsid w:val="00C03D75"/>
    <w:rsid w:val="00C130E1"/>
    <w:rsid w:val="00C25DA5"/>
    <w:rsid w:val="00C26A28"/>
    <w:rsid w:val="00C32EE0"/>
    <w:rsid w:val="00C37775"/>
    <w:rsid w:val="00C37A5C"/>
    <w:rsid w:val="00C41DED"/>
    <w:rsid w:val="00C42092"/>
    <w:rsid w:val="00C47CD4"/>
    <w:rsid w:val="00C54D25"/>
    <w:rsid w:val="00C5665D"/>
    <w:rsid w:val="00C62FA2"/>
    <w:rsid w:val="00C64DC6"/>
    <w:rsid w:val="00C6681E"/>
    <w:rsid w:val="00C773F1"/>
    <w:rsid w:val="00C83277"/>
    <w:rsid w:val="00C865A9"/>
    <w:rsid w:val="00C87B46"/>
    <w:rsid w:val="00C91359"/>
    <w:rsid w:val="00C9198F"/>
    <w:rsid w:val="00C92198"/>
    <w:rsid w:val="00C9326F"/>
    <w:rsid w:val="00C93D0E"/>
    <w:rsid w:val="00CA3098"/>
    <w:rsid w:val="00CB497B"/>
    <w:rsid w:val="00CB49D9"/>
    <w:rsid w:val="00CB4F64"/>
    <w:rsid w:val="00CB58E4"/>
    <w:rsid w:val="00CC13B7"/>
    <w:rsid w:val="00CC1F62"/>
    <w:rsid w:val="00CC381C"/>
    <w:rsid w:val="00CC5086"/>
    <w:rsid w:val="00CC65CA"/>
    <w:rsid w:val="00CD09BD"/>
    <w:rsid w:val="00CE127E"/>
    <w:rsid w:val="00CE1A56"/>
    <w:rsid w:val="00CE72F8"/>
    <w:rsid w:val="00CF5484"/>
    <w:rsid w:val="00CF5770"/>
    <w:rsid w:val="00CF6301"/>
    <w:rsid w:val="00D00823"/>
    <w:rsid w:val="00D03309"/>
    <w:rsid w:val="00D11A3E"/>
    <w:rsid w:val="00D15052"/>
    <w:rsid w:val="00D1659D"/>
    <w:rsid w:val="00D20DDC"/>
    <w:rsid w:val="00D210AC"/>
    <w:rsid w:val="00D22060"/>
    <w:rsid w:val="00D23F88"/>
    <w:rsid w:val="00D24338"/>
    <w:rsid w:val="00D25C85"/>
    <w:rsid w:val="00D31441"/>
    <w:rsid w:val="00D3203E"/>
    <w:rsid w:val="00D32B4B"/>
    <w:rsid w:val="00D34AAD"/>
    <w:rsid w:val="00D3729A"/>
    <w:rsid w:val="00D37E5B"/>
    <w:rsid w:val="00D403D7"/>
    <w:rsid w:val="00D40BD8"/>
    <w:rsid w:val="00D434FA"/>
    <w:rsid w:val="00D4400E"/>
    <w:rsid w:val="00D519C2"/>
    <w:rsid w:val="00D52D96"/>
    <w:rsid w:val="00D531BB"/>
    <w:rsid w:val="00D61090"/>
    <w:rsid w:val="00D6187A"/>
    <w:rsid w:val="00D64021"/>
    <w:rsid w:val="00D6717D"/>
    <w:rsid w:val="00D67625"/>
    <w:rsid w:val="00D71C16"/>
    <w:rsid w:val="00D726F1"/>
    <w:rsid w:val="00D74E1E"/>
    <w:rsid w:val="00D755AB"/>
    <w:rsid w:val="00D76776"/>
    <w:rsid w:val="00D7752E"/>
    <w:rsid w:val="00D852CB"/>
    <w:rsid w:val="00D87DBF"/>
    <w:rsid w:val="00D913F7"/>
    <w:rsid w:val="00D91FC1"/>
    <w:rsid w:val="00D96A0B"/>
    <w:rsid w:val="00DA4C1F"/>
    <w:rsid w:val="00DA585B"/>
    <w:rsid w:val="00DB3F36"/>
    <w:rsid w:val="00DB4F83"/>
    <w:rsid w:val="00DB778F"/>
    <w:rsid w:val="00DD33FA"/>
    <w:rsid w:val="00DD3612"/>
    <w:rsid w:val="00DE251D"/>
    <w:rsid w:val="00DE2D12"/>
    <w:rsid w:val="00DE6E84"/>
    <w:rsid w:val="00DF2461"/>
    <w:rsid w:val="00DF45D5"/>
    <w:rsid w:val="00DF4911"/>
    <w:rsid w:val="00E0014D"/>
    <w:rsid w:val="00E01024"/>
    <w:rsid w:val="00E028FF"/>
    <w:rsid w:val="00E0405E"/>
    <w:rsid w:val="00E0696B"/>
    <w:rsid w:val="00E123C3"/>
    <w:rsid w:val="00E16E80"/>
    <w:rsid w:val="00E2353A"/>
    <w:rsid w:val="00E2373C"/>
    <w:rsid w:val="00E26E33"/>
    <w:rsid w:val="00E33744"/>
    <w:rsid w:val="00E33765"/>
    <w:rsid w:val="00E413E2"/>
    <w:rsid w:val="00E44C55"/>
    <w:rsid w:val="00E46758"/>
    <w:rsid w:val="00E51568"/>
    <w:rsid w:val="00E56E74"/>
    <w:rsid w:val="00E57B76"/>
    <w:rsid w:val="00E602CA"/>
    <w:rsid w:val="00E60700"/>
    <w:rsid w:val="00E619B2"/>
    <w:rsid w:val="00E6394C"/>
    <w:rsid w:val="00E67F11"/>
    <w:rsid w:val="00E72C84"/>
    <w:rsid w:val="00E80444"/>
    <w:rsid w:val="00E8089E"/>
    <w:rsid w:val="00E83AC8"/>
    <w:rsid w:val="00E8742C"/>
    <w:rsid w:val="00E8783A"/>
    <w:rsid w:val="00E92970"/>
    <w:rsid w:val="00E93C01"/>
    <w:rsid w:val="00E93F77"/>
    <w:rsid w:val="00E95BDA"/>
    <w:rsid w:val="00E97525"/>
    <w:rsid w:val="00EA0B73"/>
    <w:rsid w:val="00EA2246"/>
    <w:rsid w:val="00EA267E"/>
    <w:rsid w:val="00EA3160"/>
    <w:rsid w:val="00EB5308"/>
    <w:rsid w:val="00EB5F57"/>
    <w:rsid w:val="00EB7E43"/>
    <w:rsid w:val="00EC06DE"/>
    <w:rsid w:val="00EC10EB"/>
    <w:rsid w:val="00EC2CFD"/>
    <w:rsid w:val="00EC41EC"/>
    <w:rsid w:val="00EC5C7C"/>
    <w:rsid w:val="00ED2CB8"/>
    <w:rsid w:val="00EE1F23"/>
    <w:rsid w:val="00EE359B"/>
    <w:rsid w:val="00EF5361"/>
    <w:rsid w:val="00F007E1"/>
    <w:rsid w:val="00F01A06"/>
    <w:rsid w:val="00F03335"/>
    <w:rsid w:val="00F07F7D"/>
    <w:rsid w:val="00F11536"/>
    <w:rsid w:val="00F11BEF"/>
    <w:rsid w:val="00F27887"/>
    <w:rsid w:val="00F27F5E"/>
    <w:rsid w:val="00F317F6"/>
    <w:rsid w:val="00F40579"/>
    <w:rsid w:val="00F42FD8"/>
    <w:rsid w:val="00F44B0C"/>
    <w:rsid w:val="00F50673"/>
    <w:rsid w:val="00F521A5"/>
    <w:rsid w:val="00F521E2"/>
    <w:rsid w:val="00F54383"/>
    <w:rsid w:val="00F556D5"/>
    <w:rsid w:val="00F55AD1"/>
    <w:rsid w:val="00F56F9C"/>
    <w:rsid w:val="00F61EBD"/>
    <w:rsid w:val="00F64BD3"/>
    <w:rsid w:val="00F65203"/>
    <w:rsid w:val="00F71909"/>
    <w:rsid w:val="00F73D7C"/>
    <w:rsid w:val="00F74B3F"/>
    <w:rsid w:val="00F86052"/>
    <w:rsid w:val="00F94AFA"/>
    <w:rsid w:val="00F96478"/>
    <w:rsid w:val="00FA2B94"/>
    <w:rsid w:val="00FA644F"/>
    <w:rsid w:val="00FA7FEB"/>
    <w:rsid w:val="00FB00EC"/>
    <w:rsid w:val="00FB3FBF"/>
    <w:rsid w:val="00FB7FCD"/>
    <w:rsid w:val="00FC1F69"/>
    <w:rsid w:val="00FC3E40"/>
    <w:rsid w:val="00FC5E20"/>
    <w:rsid w:val="00FC699E"/>
    <w:rsid w:val="00FD505A"/>
    <w:rsid w:val="00FD58DC"/>
    <w:rsid w:val="00FD5FA8"/>
    <w:rsid w:val="00FD640B"/>
    <w:rsid w:val="00FD72D9"/>
    <w:rsid w:val="00FE3DC3"/>
    <w:rsid w:val="00FE3EB0"/>
    <w:rsid w:val="00FF02B6"/>
    <w:rsid w:val="00FF24DF"/>
    <w:rsid w:val="00FF4936"/>
    <w:rsid w:val="0420967A"/>
    <w:rsid w:val="08DD0FD4"/>
    <w:rsid w:val="1C63998C"/>
    <w:rsid w:val="21A35E96"/>
    <w:rsid w:val="21A8E86A"/>
    <w:rsid w:val="2244D7D9"/>
    <w:rsid w:val="2D00ACF4"/>
    <w:rsid w:val="4EE1E548"/>
    <w:rsid w:val="55124DBC"/>
    <w:rsid w:val="5D53129E"/>
    <w:rsid w:val="61AF16D5"/>
    <w:rsid w:val="629F9390"/>
    <w:rsid w:val="7B815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8FB06"/>
  <w14:defaultImageDpi w14:val="0"/>
  <w15:docId w15:val="{A9606362-39B6-4C7D-9A58-6473308F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E33744"/>
    <w:pPr>
      <w:keepNext/>
      <w:numPr>
        <w:numId w:val="5"/>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B7FCD"/>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uiPriority w:val="99"/>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204025"/>
    <w:rPr>
      <w:sz w:val="16"/>
      <w:szCs w:val="16"/>
    </w:rPr>
  </w:style>
  <w:style w:type="paragraph" w:styleId="CommentText">
    <w:name w:val="annotation text"/>
    <w:basedOn w:val="Normal"/>
    <w:link w:val="CommentTextChar"/>
    <w:uiPriority w:val="99"/>
    <w:semiHidden/>
    <w:unhideWhenUsed/>
    <w:rsid w:val="00204025"/>
    <w:rPr>
      <w:sz w:val="20"/>
      <w:szCs w:val="20"/>
    </w:rPr>
  </w:style>
  <w:style w:type="character" w:customStyle="1" w:styleId="CommentTextChar">
    <w:name w:val="Comment Text Char"/>
    <w:link w:val="CommentText"/>
    <w:uiPriority w:val="99"/>
    <w:semiHidden/>
    <w:rsid w:val="00204025"/>
    <w:rPr>
      <w:color w:val="1F3864"/>
    </w:rPr>
  </w:style>
  <w:style w:type="paragraph" w:styleId="CommentSubject">
    <w:name w:val="annotation subject"/>
    <w:basedOn w:val="CommentText"/>
    <w:next w:val="CommentText"/>
    <w:link w:val="CommentSubjectChar"/>
    <w:uiPriority w:val="99"/>
    <w:semiHidden/>
    <w:unhideWhenUsed/>
    <w:rsid w:val="00204025"/>
    <w:rPr>
      <w:b/>
      <w:bCs/>
    </w:rPr>
  </w:style>
  <w:style w:type="character" w:customStyle="1" w:styleId="CommentSubjectChar">
    <w:name w:val="Comment Subject Char"/>
    <w:link w:val="CommentSubject"/>
    <w:uiPriority w:val="99"/>
    <w:semiHidden/>
    <w:rsid w:val="00204025"/>
    <w:rPr>
      <w:b/>
      <w:bCs/>
      <w:color w:val="1F3864"/>
    </w:rPr>
  </w:style>
  <w:style w:type="character" w:customStyle="1" w:styleId="Heading3Char">
    <w:name w:val="Heading 3 Char"/>
    <w:link w:val="Heading3"/>
    <w:uiPriority w:val="9"/>
    <w:semiHidden/>
    <w:rsid w:val="00FB7FCD"/>
    <w:rPr>
      <w:rFonts w:ascii="Calibri Light" w:eastAsia="Times New Roman" w:hAnsi="Calibri Light" w:cs="Times New Roman"/>
      <w:b/>
      <w:bCs/>
      <w:color w:val="1F3864"/>
      <w:sz w:val="26"/>
      <w:szCs w:val="26"/>
    </w:rPr>
  </w:style>
  <w:style w:type="paragraph" w:styleId="ListBullet">
    <w:name w:val="List Bullet"/>
    <w:basedOn w:val="BodyText"/>
    <w:qFormat/>
    <w:rsid w:val="00D00823"/>
    <w:pPr>
      <w:numPr>
        <w:numId w:val="11"/>
      </w:numPr>
      <w:spacing w:before="0" w:after="60" w:line="240" w:lineRule="atLeast"/>
      <w:ind w:left="426" w:hanging="284"/>
    </w:pPr>
    <w:rPr>
      <w:rFonts w:eastAsia="Calibri"/>
      <w:b w:val="0"/>
      <w:i w:val="0"/>
      <w:sz w:val="20"/>
      <w:szCs w:val="24"/>
    </w:rPr>
  </w:style>
  <w:style w:type="paragraph" w:styleId="ListBullet2">
    <w:name w:val="List Bullet 2"/>
    <w:basedOn w:val="Normal"/>
    <w:qFormat/>
    <w:rsid w:val="00D00823"/>
    <w:pPr>
      <w:numPr>
        <w:ilvl w:val="1"/>
        <w:numId w:val="11"/>
      </w:numPr>
      <w:spacing w:after="60" w:line="240" w:lineRule="atLeast"/>
    </w:pPr>
    <w:rPr>
      <w:rFonts w:ascii="Arial" w:eastAsia="Calibri" w:hAnsi="Arial"/>
      <w:color w:val="auto"/>
      <w:sz w:val="18"/>
      <w:szCs w:val="24"/>
      <w:lang w:eastAsia="en-US"/>
    </w:rPr>
  </w:style>
  <w:style w:type="paragraph" w:styleId="ListBullet3">
    <w:name w:val="List Bullet 3"/>
    <w:basedOn w:val="Normal"/>
    <w:rsid w:val="00D00823"/>
    <w:pPr>
      <w:numPr>
        <w:ilvl w:val="2"/>
        <w:numId w:val="11"/>
      </w:numPr>
      <w:spacing w:after="60" w:line="240" w:lineRule="atLeast"/>
      <w:ind w:left="993" w:hanging="284"/>
    </w:pPr>
    <w:rPr>
      <w:rFonts w:ascii="Arial" w:eastAsia="Calibri" w:hAnsi="Arial"/>
      <w:color w:val="auto"/>
      <w:sz w:val="18"/>
      <w:szCs w:val="24"/>
      <w:lang w:eastAsia="en-US"/>
    </w:rPr>
  </w:style>
  <w:style w:type="character" w:customStyle="1" w:styleId="normaltextrun">
    <w:name w:val="normaltextrun"/>
    <w:basedOn w:val="DefaultParagraphFont"/>
    <w:rsid w:val="0084452B"/>
  </w:style>
  <w:style w:type="character" w:customStyle="1" w:styleId="eop">
    <w:name w:val="eop"/>
    <w:basedOn w:val="DefaultParagraphFont"/>
    <w:rsid w:val="0084452B"/>
  </w:style>
  <w:style w:type="paragraph" w:styleId="ListParagraph">
    <w:name w:val="List Paragraph"/>
    <w:basedOn w:val="Normal"/>
    <w:uiPriority w:val="34"/>
    <w:qFormat/>
    <w:rsid w:val="0043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599992831">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33138677">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957b8e-f6a3-4ee3-84fe-d390e906d70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9" ma:contentTypeDescription="Create a new document." ma:contentTypeScope="" ma:versionID="505880670c3edaea43b1dff8bad2694e">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5dcd1d64b409ea44f7196c4e1c5c59a4"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87EA5-AC01-4587-8F21-E766BB90B444}">
  <ds:schemaRefs>
    <ds:schemaRef ds:uri="http://schemas.microsoft.com/office/2006/metadata/properties"/>
    <ds:schemaRef ds:uri="http://schemas.microsoft.com/office/infopath/2007/PartnerControls"/>
    <ds:schemaRef ds:uri="fb957b8e-f6a3-4ee3-84fe-d390e906d706"/>
  </ds:schemaRefs>
</ds:datastoreItem>
</file>

<file path=customXml/itemProps2.xml><?xml version="1.0" encoding="utf-8"?>
<ds:datastoreItem xmlns:ds="http://schemas.openxmlformats.org/officeDocument/2006/customXml" ds:itemID="{464A113D-CCCB-4551-8AF6-6D24AC5A9F2C}">
  <ds:schemaRefs>
    <ds:schemaRef ds:uri="http://schemas.openxmlformats.org/officeDocument/2006/bibliography"/>
  </ds:schemaRefs>
</ds:datastoreItem>
</file>

<file path=customXml/itemProps3.xml><?xml version="1.0" encoding="utf-8"?>
<ds:datastoreItem xmlns:ds="http://schemas.openxmlformats.org/officeDocument/2006/customXml" ds:itemID="{6AFA8D6E-B794-4188-8E1B-AE61A120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AE5FD-7B5A-409E-99A2-C27FA5D34B05}">
  <ds:schemaRefs>
    <ds:schemaRef ds:uri="http://schemas.microsoft.com/office/2006/metadata/longProperties"/>
  </ds:schemaRefs>
</ds:datastoreItem>
</file>

<file path=customXml/itemProps5.xml><?xml version="1.0" encoding="utf-8"?>
<ds:datastoreItem xmlns:ds="http://schemas.openxmlformats.org/officeDocument/2006/customXml" ds:itemID="{DDC906E4-F258-479B-AB04-D4D333C59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575</Words>
  <Characters>3350</Characters>
  <Application>Microsoft Office Word</Application>
  <DocSecurity>0</DocSecurity>
  <Lines>27</Lines>
  <Paragraphs>7</Paragraphs>
  <ScaleCrop>false</ScaleCrop>
  <Company/>
  <LinksUpToDate>false</LinksUpToDate>
  <CharactersWithSpaces>3918</CharactersWithSpaces>
  <SharedDoc>false</SharedDoc>
  <HLinks>
    <vt:vector size="18" baseType="variant">
      <vt:variant>
        <vt:i4>1966137</vt:i4>
      </vt:variant>
      <vt:variant>
        <vt:i4>14</vt:i4>
      </vt:variant>
      <vt:variant>
        <vt:i4>0</vt:i4>
      </vt:variant>
      <vt:variant>
        <vt:i4>5</vt:i4>
      </vt:variant>
      <vt:variant>
        <vt:lpwstr/>
      </vt:variant>
      <vt:variant>
        <vt:lpwstr>_Toc109659469</vt:lpwstr>
      </vt:variant>
      <vt:variant>
        <vt:i4>1966137</vt:i4>
      </vt:variant>
      <vt:variant>
        <vt:i4>8</vt:i4>
      </vt:variant>
      <vt:variant>
        <vt:i4>0</vt:i4>
      </vt:variant>
      <vt:variant>
        <vt:i4>5</vt:i4>
      </vt:variant>
      <vt:variant>
        <vt:lpwstr/>
      </vt:variant>
      <vt:variant>
        <vt:lpwstr>_Toc109659468</vt:lpwstr>
      </vt:variant>
      <vt:variant>
        <vt:i4>1966137</vt:i4>
      </vt:variant>
      <vt:variant>
        <vt:i4>2</vt:i4>
      </vt:variant>
      <vt:variant>
        <vt:i4>0</vt:i4>
      </vt:variant>
      <vt:variant>
        <vt:i4>5</vt:i4>
      </vt:variant>
      <vt:variant>
        <vt:lpwstr/>
      </vt:variant>
      <vt:variant>
        <vt:lpwstr>_Toc109659467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NEMMCO</dc:creator>
  <cp:keywords/>
  <dc:description/>
  <cp:lastModifiedBy>Kate Gordon</cp:lastModifiedBy>
  <cp:revision>36</cp:revision>
  <cp:lastPrinted>2022-06-02T16:52:00Z</cp:lastPrinted>
  <dcterms:created xsi:type="dcterms:W3CDTF">2022-07-25T18:57:00Z</dcterms:created>
  <dcterms:modified xsi:type="dcterms:W3CDTF">2022-09-06T03:58:00Z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TaxHTField0">
    <vt:lpwstr>Operational Record|859762f2-4462-42eb-9744-c955c7e2c540</vt:lpwstr>
  </property>
  <property fmtid="{D5CDD505-2E9C-101B-9397-08002B2CF9AE}" pid="3" name="TaxCatchAll">
    <vt:lpwstr>6;#Operational Record|859762f2-4462-42eb-9744-c955c7e2c540</vt:lpwstr>
  </property>
  <property fmtid="{D5CDD505-2E9C-101B-9397-08002B2CF9AE}" pid="4" name="_dlc_DocId">
    <vt:lpwstr>RETAILMARKET-21-59130</vt:lpwstr>
  </property>
  <property fmtid="{D5CDD505-2E9C-101B-9397-08002B2CF9AE}" pid="5" name="_dlc_DocIdItemGuid">
    <vt:lpwstr>bad57ac8-d783-43ff-8654-1cd3e8e349c9</vt:lpwstr>
  </property>
  <property fmtid="{D5CDD505-2E9C-101B-9397-08002B2CF9AE}" pid="6" name="_dlc_DocIdUrl">
    <vt:lpwstr>http://sharedocs/sites/rmm/RetD/_layouts/15/DocIdRedir.aspx?ID=RETAILMARKET-21-59130, RETAILMARKET-21-59130</vt:lpwstr>
  </property>
  <property fmtid="{D5CDD505-2E9C-101B-9397-08002B2CF9AE}" pid="7" name="AEMODescription">
    <vt:lpwstr/>
  </property>
  <property fmtid="{D5CDD505-2E9C-101B-9397-08002B2CF9AE}" pid="8" name="AEMODocumentType">
    <vt:lpwstr>6;#Operational Record|859762f2-4462-42eb-9744-c955c7e2c540</vt:lpwstr>
  </property>
  <property fmtid="{D5CDD505-2E9C-101B-9397-08002B2CF9AE}" pid="9" name="ArchiveDocument">
    <vt:lpwstr>0</vt:lpwstr>
  </property>
  <property fmtid="{D5CDD505-2E9C-101B-9397-08002B2CF9AE}" pid="10" name="AEMOKeywords">
    <vt:lpwstr/>
  </property>
  <property fmtid="{D5CDD505-2E9C-101B-9397-08002B2CF9AE}" pid="11" name="AEMOKeywordsTaxHTField0">
    <vt:lpwstr/>
  </property>
  <property fmtid="{D5CDD505-2E9C-101B-9397-08002B2CF9AE}" pid="12" name="AEMOCustodian">
    <vt:lpwstr/>
  </property>
  <property fmtid="{D5CDD505-2E9C-101B-9397-08002B2CF9AE}" pid="13" name="ContentTypeId">
    <vt:lpwstr>0x010100EE8DA666050D4E4A8B0FCA8707E29AD3</vt:lpwstr>
  </property>
  <property fmtid="{D5CDD505-2E9C-101B-9397-08002B2CF9AE}" pid="14" name="Order">
    <vt:r8>1200</vt:r8>
  </property>
  <property fmtid="{D5CDD505-2E9C-101B-9397-08002B2CF9AE}" pid="15" name="TriggerFlowInfo">
    <vt:lpwstr/>
  </property>
  <property fmtid="{D5CDD505-2E9C-101B-9397-08002B2CF9AE}" pid="16" name="ComplianceAssetId">
    <vt:lpwstr/>
  </property>
  <property fmtid="{D5CDD505-2E9C-101B-9397-08002B2CF9AE}" pid="17" name="_ExtendedDescription">
    <vt:lpwstr/>
  </property>
</Properties>
</file>